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823D0" w14:textId="77777777" w:rsidR="00B930E3" w:rsidRPr="00B930E3" w:rsidRDefault="00B930E3">
      <w:pPr>
        <w:rPr>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410EC0" w14:paraId="2A1507AE" w14:textId="77777777" w:rsidTr="00B930E3">
        <w:trPr>
          <w:trHeight w:val="851"/>
        </w:trPr>
        <w:tc>
          <w:tcPr>
            <w:tcW w:w="3207" w:type="dxa"/>
          </w:tcPr>
          <w:p w14:paraId="3DE2B8BB" w14:textId="77777777" w:rsidR="00410EC0" w:rsidRDefault="00410EC0" w:rsidP="00E74991"/>
        </w:tc>
        <w:tc>
          <w:tcPr>
            <w:tcW w:w="3227" w:type="dxa"/>
            <w:vMerge w:val="restart"/>
          </w:tcPr>
          <w:p w14:paraId="3DD5B36D" w14:textId="77777777" w:rsidR="00410EC0" w:rsidRDefault="00410EC0" w:rsidP="00E74991">
            <w:pPr>
              <w:jc w:val="center"/>
            </w:pPr>
            <w:r>
              <w:object w:dxaOrig="1595" w:dyaOrig="2201" w14:anchorId="7B4DC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8pt" o:ole="">
                  <v:imagedata r:id="rId12" o:title=""/>
                </v:shape>
                <o:OLEObject Type="Embed" ProgID="CorelDraw.Graphic.16" ShapeID="_x0000_i1025" DrawAspect="Content" ObjectID="_1797949097" r:id="rId13"/>
              </w:object>
            </w:r>
          </w:p>
        </w:tc>
        <w:tc>
          <w:tcPr>
            <w:tcW w:w="3204" w:type="dxa"/>
          </w:tcPr>
          <w:p w14:paraId="4A51401A" w14:textId="77777777" w:rsidR="00410EC0" w:rsidRDefault="00410EC0" w:rsidP="00E74991"/>
        </w:tc>
      </w:tr>
      <w:tr w:rsidR="00410EC0" w14:paraId="3A2D51A0" w14:textId="77777777" w:rsidTr="00B930E3">
        <w:tc>
          <w:tcPr>
            <w:tcW w:w="3207" w:type="dxa"/>
          </w:tcPr>
          <w:p w14:paraId="03D456B6" w14:textId="77777777" w:rsidR="00410EC0" w:rsidRDefault="00410EC0" w:rsidP="00E74991"/>
        </w:tc>
        <w:tc>
          <w:tcPr>
            <w:tcW w:w="3227" w:type="dxa"/>
            <w:vMerge/>
          </w:tcPr>
          <w:p w14:paraId="040F35F3" w14:textId="77777777" w:rsidR="00410EC0" w:rsidRDefault="00410EC0" w:rsidP="00E74991"/>
        </w:tc>
        <w:tc>
          <w:tcPr>
            <w:tcW w:w="3204" w:type="dxa"/>
          </w:tcPr>
          <w:p w14:paraId="569556BC" w14:textId="77777777" w:rsidR="00410EC0" w:rsidRDefault="00410EC0" w:rsidP="00E74991"/>
        </w:tc>
      </w:tr>
      <w:tr w:rsidR="00410EC0" w14:paraId="74CC4CDB" w14:textId="77777777" w:rsidTr="00B930E3">
        <w:tc>
          <w:tcPr>
            <w:tcW w:w="9638" w:type="dxa"/>
            <w:gridSpan w:val="3"/>
          </w:tcPr>
          <w:p w14:paraId="77A12D1B" w14:textId="77777777" w:rsidR="00410EC0" w:rsidRPr="00E10F0A" w:rsidRDefault="00410EC0" w:rsidP="00E74991">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7D4C57AC" w14:textId="77777777" w:rsidR="00410EC0" w:rsidRDefault="00410EC0" w:rsidP="00E74991">
            <w:pPr>
              <w:jc w:val="center"/>
            </w:pPr>
            <w:r w:rsidRPr="00E10F0A">
              <w:rPr>
                <w:b/>
                <w:bCs/>
                <w:color w:val="006600"/>
                <w:sz w:val="32"/>
                <w:szCs w:val="32"/>
              </w:rPr>
              <w:t>П О С Т А Н О В А</w:t>
            </w:r>
          </w:p>
        </w:tc>
      </w:tr>
    </w:tbl>
    <w:p w14:paraId="5CAD52A3" w14:textId="77777777" w:rsidR="00410EC0" w:rsidRPr="00566BA2" w:rsidRDefault="00410EC0" w:rsidP="00410EC0">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410EC0" w14:paraId="4C3DE8F0" w14:textId="77777777" w:rsidTr="00E74991">
        <w:tc>
          <w:tcPr>
            <w:tcW w:w="3510" w:type="dxa"/>
            <w:vAlign w:val="bottom"/>
          </w:tcPr>
          <w:p w14:paraId="00481268" w14:textId="77777777" w:rsidR="00410EC0" w:rsidRPr="00566BA2" w:rsidRDefault="00410EC0" w:rsidP="00E74991"/>
        </w:tc>
        <w:tc>
          <w:tcPr>
            <w:tcW w:w="2694" w:type="dxa"/>
          </w:tcPr>
          <w:p w14:paraId="67F6D56E" w14:textId="77777777" w:rsidR="00410EC0" w:rsidRDefault="00410EC0" w:rsidP="00E74991">
            <w:pPr>
              <w:spacing w:before="240"/>
              <w:jc w:val="center"/>
            </w:pPr>
            <w:r w:rsidRPr="00E10F0A">
              <w:rPr>
                <w:color w:val="006600"/>
              </w:rPr>
              <w:t>Київ</w:t>
            </w:r>
          </w:p>
        </w:tc>
        <w:tc>
          <w:tcPr>
            <w:tcW w:w="1713" w:type="dxa"/>
            <w:vAlign w:val="bottom"/>
          </w:tcPr>
          <w:p w14:paraId="0366B8E7" w14:textId="77777777" w:rsidR="00410EC0" w:rsidRPr="00101D5A" w:rsidRDefault="00410EC0" w:rsidP="00E74991">
            <w:pPr>
              <w:jc w:val="right"/>
            </w:pPr>
            <w:r w:rsidRPr="00101D5A">
              <w:rPr>
                <w:color w:val="FFFFFF" w:themeColor="background1"/>
              </w:rPr>
              <w:t>№</w:t>
            </w:r>
          </w:p>
        </w:tc>
        <w:tc>
          <w:tcPr>
            <w:tcW w:w="1937" w:type="dxa"/>
            <w:vAlign w:val="bottom"/>
          </w:tcPr>
          <w:p w14:paraId="16D032EA" w14:textId="77777777" w:rsidR="00410EC0" w:rsidRDefault="00410EC0" w:rsidP="00E74991">
            <w:pPr>
              <w:jc w:val="left"/>
            </w:pPr>
          </w:p>
        </w:tc>
      </w:tr>
    </w:tbl>
    <w:p w14:paraId="7E1E2649" w14:textId="77777777" w:rsidR="00410EC0" w:rsidRPr="00CD0CD4" w:rsidRDefault="00410EC0" w:rsidP="00410EC0">
      <w:pPr>
        <w:rPr>
          <w:sz w:val="2"/>
          <w:szCs w:val="2"/>
        </w:rPr>
      </w:pPr>
    </w:p>
    <w:p w14:paraId="65AFBC52" w14:textId="54E73F2F" w:rsidR="00410EC0" w:rsidRPr="00CD0CD4" w:rsidRDefault="00410EC0" w:rsidP="00410EC0">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410EC0" w:rsidRPr="00CD0CD4" w14:paraId="0CDC8480" w14:textId="77777777" w:rsidTr="00E74991">
        <w:trPr>
          <w:jc w:val="center"/>
        </w:trPr>
        <w:tc>
          <w:tcPr>
            <w:tcW w:w="5000" w:type="pct"/>
          </w:tcPr>
          <w:p w14:paraId="6A188F3F" w14:textId="56A5E83D" w:rsidR="00410EC0" w:rsidRDefault="00FF008A" w:rsidP="005449F5">
            <w:pPr>
              <w:tabs>
                <w:tab w:val="left" w:pos="840"/>
                <w:tab w:val="center" w:pos="3293"/>
              </w:tabs>
              <w:spacing w:before="240" w:after="240"/>
              <w:jc w:val="center"/>
              <w:rPr>
                <w:bCs/>
              </w:rPr>
            </w:pPr>
            <w:r w:rsidRPr="00FF008A">
              <w:rPr>
                <w:bCs/>
              </w:rPr>
              <w:t xml:space="preserve">Про </w:t>
            </w:r>
            <w:r w:rsidR="002974B5">
              <w:rPr>
                <w:bCs/>
              </w:rPr>
              <w:t>затвердження</w:t>
            </w:r>
            <w:r w:rsidRPr="00FF008A">
              <w:rPr>
                <w:bCs/>
              </w:rPr>
              <w:t xml:space="preserve"> </w:t>
            </w:r>
            <w:r w:rsidR="005449F5">
              <w:rPr>
                <w:bCs/>
              </w:rPr>
              <w:t>З</w:t>
            </w:r>
            <w:r w:rsidR="005449F5" w:rsidRPr="00FF008A">
              <w:rPr>
                <w:bCs/>
              </w:rPr>
              <w:t>мін</w:t>
            </w:r>
            <w:r w:rsidRPr="00FF008A">
              <w:rPr>
                <w:bCs/>
              </w:rPr>
              <w:t xml:space="preserve"> до Положення про провадження депозитарної і клірингової діяльності та забезпечення здійснення розрахунків за </w:t>
            </w:r>
            <w:bookmarkStart w:id="0" w:name="_GoBack"/>
            <w:bookmarkEnd w:id="0"/>
            <w:r w:rsidRPr="00FF008A">
              <w:rPr>
                <w:bCs/>
              </w:rPr>
              <w:t>правочинами щодо цінних паперів Національним банком України</w:t>
            </w:r>
          </w:p>
          <w:p w14:paraId="21D89518" w14:textId="6F5D51D0" w:rsidR="00533325" w:rsidRPr="00CD0CD4" w:rsidRDefault="00533325" w:rsidP="005449F5">
            <w:pPr>
              <w:tabs>
                <w:tab w:val="left" w:pos="840"/>
                <w:tab w:val="center" w:pos="3293"/>
              </w:tabs>
              <w:spacing w:before="240" w:after="240"/>
              <w:jc w:val="center"/>
              <w:rPr>
                <w:rFonts w:eastAsiaTheme="minorEastAsia"/>
                <w:color w:val="000000" w:themeColor="text1"/>
                <w:lang w:eastAsia="en-US"/>
              </w:rPr>
            </w:pPr>
          </w:p>
        </w:tc>
      </w:tr>
    </w:tbl>
    <w:p w14:paraId="02D3E09F" w14:textId="77777777" w:rsidR="00410EC0" w:rsidRDefault="00227635" w:rsidP="00410EC0">
      <w:pPr>
        <w:spacing w:before="240" w:after="240"/>
        <w:ind w:firstLine="567"/>
        <w:rPr>
          <w:b/>
        </w:rPr>
      </w:pPr>
      <w:r w:rsidRPr="00A25014">
        <w:rPr>
          <w:rFonts w:eastAsiaTheme="minorEastAsia"/>
          <w:color w:val="000000" w:themeColor="text1"/>
          <w:lang w:eastAsia="en-US"/>
        </w:rPr>
        <w:t xml:space="preserve">Відповідно до статей 7, 15, 56 Закону України “Про Національний банк України”, статей 13, 17, 20 Закону України “Про депозитарну систему України”, з метою </w:t>
      </w:r>
      <w:r>
        <w:rPr>
          <w:rFonts w:eastAsiaTheme="minorEastAsia"/>
          <w:color w:val="000000" w:themeColor="text1"/>
          <w:lang w:eastAsia="en-US"/>
        </w:rPr>
        <w:t>вдосконалення порядку проведення розрахунків за правочинами щодо цінних паперів, облік яких відповідно до законодавства України належить до компетенції Національного банку України,</w:t>
      </w:r>
      <w:r w:rsidRPr="00A25014">
        <w:rPr>
          <w:rFonts w:eastAsiaTheme="minorEastAsia"/>
          <w:color w:val="000000" w:themeColor="text1"/>
          <w:lang w:eastAsia="en-US"/>
        </w:rPr>
        <w:t xml:space="preserve"> </w:t>
      </w:r>
      <w:r w:rsidR="00410EC0" w:rsidRPr="00CD0CD4">
        <w:t>Правління Національного банку України</w:t>
      </w:r>
      <w:r w:rsidR="00410EC0" w:rsidRPr="00CD0CD4">
        <w:rPr>
          <w:b/>
        </w:rPr>
        <w:t xml:space="preserve"> постановляє:</w:t>
      </w:r>
    </w:p>
    <w:p w14:paraId="155CD721" w14:textId="53297595" w:rsidR="00410EC0" w:rsidRDefault="00410EC0" w:rsidP="00410EC0">
      <w:pPr>
        <w:spacing w:before="240" w:after="240"/>
        <w:ind w:firstLine="567"/>
        <w:rPr>
          <w:rFonts w:eastAsiaTheme="minorEastAsia"/>
          <w:noProof/>
          <w:color w:val="000000" w:themeColor="text1"/>
          <w:lang w:eastAsia="en-US"/>
        </w:rPr>
      </w:pPr>
      <w:r w:rsidRPr="005E43E6">
        <w:t>1.</w:t>
      </w:r>
      <w:r>
        <w:rPr>
          <w:lang w:val="en-US"/>
        </w:rPr>
        <w:t> </w:t>
      </w:r>
      <w:r w:rsidR="002974B5">
        <w:rPr>
          <w:rFonts w:eastAsiaTheme="minorEastAsia"/>
          <w:noProof/>
          <w:color w:val="000000" w:themeColor="text1"/>
          <w:lang w:eastAsia="en-US"/>
        </w:rPr>
        <w:t xml:space="preserve">Затвердити </w:t>
      </w:r>
      <w:r w:rsidR="005449F5">
        <w:rPr>
          <w:rFonts w:eastAsiaTheme="minorEastAsia"/>
          <w:noProof/>
          <w:color w:val="000000" w:themeColor="text1"/>
          <w:lang w:eastAsia="en-US"/>
        </w:rPr>
        <w:t xml:space="preserve">Зміни </w:t>
      </w:r>
      <w:r w:rsidR="002974B5">
        <w:rPr>
          <w:rFonts w:eastAsiaTheme="minorEastAsia"/>
          <w:noProof/>
          <w:color w:val="000000" w:themeColor="text1"/>
          <w:lang w:eastAsia="en-US"/>
        </w:rPr>
        <w:t xml:space="preserve">до </w:t>
      </w:r>
      <w:r w:rsidR="002974B5" w:rsidRPr="007050D3">
        <w:rPr>
          <w:rFonts w:eastAsiaTheme="minorEastAsia"/>
          <w:noProof/>
          <w:color w:val="000000" w:themeColor="text1"/>
          <w:lang w:eastAsia="en-US"/>
        </w:rPr>
        <w:t>Положення про провадження депозитарної і клірингової діяльності та забезпечення здійснення розрахунків за правочинами щодо цінних паперів Національним банком України, затвердженого постановою Правління Національного банку України від 21 грудня 2017 року № 140 (зі змінами)</w:t>
      </w:r>
      <w:r w:rsidR="002974B5">
        <w:rPr>
          <w:rFonts w:eastAsiaTheme="minorEastAsia"/>
          <w:noProof/>
          <w:color w:val="000000" w:themeColor="text1"/>
          <w:lang w:eastAsia="en-US"/>
        </w:rPr>
        <w:t>, що додаються</w:t>
      </w:r>
      <w:r w:rsidRPr="005632A7">
        <w:rPr>
          <w:rFonts w:eastAsiaTheme="minorEastAsia"/>
          <w:noProof/>
          <w:color w:val="000000" w:themeColor="text1"/>
          <w:lang w:eastAsia="en-US"/>
        </w:rPr>
        <w:t>.</w:t>
      </w:r>
    </w:p>
    <w:p w14:paraId="25B5DCA4" w14:textId="77777777" w:rsidR="00410EC0" w:rsidRDefault="00410EC0" w:rsidP="00410EC0">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2. </w:t>
      </w:r>
      <w:r w:rsidR="002974B5" w:rsidRPr="007E65D5">
        <w:rPr>
          <w:rFonts w:eastAsiaTheme="minorEastAsia"/>
          <w:noProof/>
          <w:color w:val="000000" w:themeColor="text1"/>
          <w:lang w:eastAsia="en-US"/>
        </w:rPr>
        <w:t>Управлінню корпоративних прав та депозитарної діяльності Національного банку України (Андрій Супрун) після офіційного опублікування довести до відома клієнтів депозитарію Національного банку України інформацію про прийняття цієї постанови.</w:t>
      </w:r>
    </w:p>
    <w:p w14:paraId="4CDE4D47" w14:textId="68260D80" w:rsidR="00410EC0" w:rsidRDefault="00410EC0" w:rsidP="00410EC0">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3. </w:t>
      </w:r>
      <w:r w:rsidR="0073686D" w:rsidRPr="00BD4044">
        <w:rPr>
          <w:rFonts w:eastAsiaTheme="minorEastAsia"/>
          <w:noProof/>
          <w:color w:val="000000" w:themeColor="text1"/>
          <w:lang w:eastAsia="en-US"/>
        </w:rPr>
        <w:t>Контроль за виконанням цієї постанови покласти на заступника Голови Національного банку України Юрія Гелетія</w:t>
      </w:r>
      <w:r>
        <w:rPr>
          <w:rFonts w:eastAsiaTheme="minorEastAsia"/>
          <w:noProof/>
          <w:color w:val="000000" w:themeColor="text1"/>
          <w:lang w:eastAsia="en-US"/>
        </w:rPr>
        <w:t>.</w:t>
      </w:r>
    </w:p>
    <w:p w14:paraId="16E0CC0E" w14:textId="3D1D04C1" w:rsidR="00533325" w:rsidRDefault="00533325" w:rsidP="00410EC0">
      <w:pPr>
        <w:spacing w:before="240" w:after="240"/>
        <w:ind w:firstLine="567"/>
        <w:rPr>
          <w:rFonts w:eastAsiaTheme="minorEastAsia"/>
          <w:noProof/>
          <w:color w:val="000000" w:themeColor="text1"/>
          <w:lang w:eastAsia="en-US"/>
        </w:rPr>
      </w:pPr>
    </w:p>
    <w:p w14:paraId="1D4C43D8" w14:textId="1A7DF983" w:rsidR="00533325" w:rsidRDefault="00533325" w:rsidP="00410EC0">
      <w:pPr>
        <w:spacing w:before="240" w:after="240"/>
        <w:ind w:firstLine="567"/>
        <w:rPr>
          <w:rFonts w:eastAsiaTheme="minorEastAsia"/>
          <w:noProof/>
          <w:color w:val="000000" w:themeColor="text1"/>
          <w:lang w:eastAsia="en-US"/>
        </w:rPr>
      </w:pPr>
    </w:p>
    <w:p w14:paraId="6DD9E0C4" w14:textId="77777777" w:rsidR="00533325" w:rsidRDefault="00533325" w:rsidP="00410EC0">
      <w:pPr>
        <w:spacing w:before="240" w:after="240"/>
        <w:ind w:firstLine="567"/>
        <w:rPr>
          <w:rFonts w:eastAsiaTheme="minorEastAsia"/>
          <w:noProof/>
          <w:color w:val="000000" w:themeColor="text1"/>
          <w:lang w:eastAsia="en-US"/>
        </w:rPr>
      </w:pPr>
    </w:p>
    <w:p w14:paraId="0747847F" w14:textId="0AA9E2A1" w:rsidR="00410EC0" w:rsidRDefault="00A72446" w:rsidP="00410EC0">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lastRenderedPageBreak/>
        <w:t>4. </w:t>
      </w:r>
      <w:r w:rsidR="0073686D" w:rsidRPr="00512DB9">
        <w:rPr>
          <w:rFonts w:eastAsiaTheme="minorEastAsia"/>
          <w:noProof/>
          <w:color w:val="000000" w:themeColor="text1"/>
          <w:lang w:eastAsia="en-US"/>
        </w:rPr>
        <w:t>Постанова набирає чинності з дня, наступного за днем її офіційного опублікування</w:t>
      </w:r>
      <w:r w:rsidR="005A6B99">
        <w:rPr>
          <w:rFonts w:eastAsiaTheme="minorEastAsia"/>
          <w:noProof/>
          <w:color w:val="000000" w:themeColor="text1"/>
          <w:lang w:eastAsia="en-US"/>
        </w:rPr>
        <w:t>.</w:t>
      </w:r>
    </w:p>
    <w:p w14:paraId="10ED1247" w14:textId="77777777" w:rsidR="00410EC0" w:rsidRPr="00E52A5D" w:rsidRDefault="00410EC0" w:rsidP="00410EC0">
      <w:pPr>
        <w:spacing w:after="120"/>
        <w:rPr>
          <w:lang w:val="ru-RU"/>
        </w:rPr>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410EC0" w:rsidRPr="00CD0CD4" w14:paraId="01BFBD58" w14:textId="77777777" w:rsidTr="00E74991">
        <w:tc>
          <w:tcPr>
            <w:tcW w:w="5387" w:type="dxa"/>
            <w:vAlign w:val="bottom"/>
          </w:tcPr>
          <w:p w14:paraId="2BA61AAD" w14:textId="77777777" w:rsidR="00410EC0" w:rsidRPr="00CD0CD4" w:rsidRDefault="00BC35AA" w:rsidP="00BC35AA">
            <w:pPr>
              <w:autoSpaceDE w:val="0"/>
              <w:autoSpaceDN w:val="0"/>
              <w:ind w:left="-111"/>
              <w:jc w:val="left"/>
            </w:pPr>
            <w:r>
              <w:t>Голова</w:t>
            </w:r>
          </w:p>
        </w:tc>
        <w:tc>
          <w:tcPr>
            <w:tcW w:w="4252" w:type="dxa"/>
            <w:vAlign w:val="bottom"/>
          </w:tcPr>
          <w:p w14:paraId="1E5A1AB8" w14:textId="77777777" w:rsidR="00410EC0" w:rsidRPr="00CD0CD4" w:rsidRDefault="00BC35AA" w:rsidP="00BC35AA">
            <w:pPr>
              <w:tabs>
                <w:tab w:val="left" w:pos="7020"/>
                <w:tab w:val="left" w:pos="7200"/>
              </w:tabs>
              <w:autoSpaceDE w:val="0"/>
              <w:autoSpaceDN w:val="0"/>
              <w:ind w:left="32"/>
              <w:jc w:val="right"/>
            </w:pPr>
            <w:r>
              <w:t>Андрій ПИШНИЙ</w:t>
            </w:r>
          </w:p>
        </w:tc>
      </w:tr>
    </w:tbl>
    <w:p w14:paraId="33CF8ACC" w14:textId="77777777" w:rsidR="00410EC0" w:rsidRPr="00CD0CD4" w:rsidRDefault="00410EC0" w:rsidP="00410EC0"/>
    <w:p w14:paraId="3C0C85EF" w14:textId="77777777" w:rsidR="00410EC0" w:rsidRPr="00CD0CD4" w:rsidRDefault="00410EC0" w:rsidP="00410EC0"/>
    <w:p w14:paraId="477AF9CA" w14:textId="77777777" w:rsidR="00410EC0" w:rsidRDefault="00410EC0" w:rsidP="00410EC0">
      <w:pPr>
        <w:jc w:val="left"/>
      </w:pPr>
      <w:r w:rsidRPr="00CD0CD4">
        <w:t>Інд.</w:t>
      </w:r>
      <w:r w:rsidRPr="00CD0CD4">
        <w:rPr>
          <w:sz w:val="22"/>
          <w:szCs w:val="22"/>
        </w:rPr>
        <w:t xml:space="preserve"> </w:t>
      </w:r>
      <w:r w:rsidR="00BC35AA">
        <w:t>42</w:t>
      </w:r>
    </w:p>
    <w:p w14:paraId="53CD9DA9" w14:textId="77777777" w:rsidR="00BC35AA" w:rsidRDefault="00BC35AA" w:rsidP="00410EC0">
      <w:pPr>
        <w:jc w:val="left"/>
      </w:pPr>
    </w:p>
    <w:p w14:paraId="12265016" w14:textId="77777777" w:rsidR="00BC35AA" w:rsidRDefault="00BC35AA" w:rsidP="00410EC0">
      <w:pPr>
        <w:jc w:val="left"/>
      </w:pPr>
    </w:p>
    <w:p w14:paraId="62DB20D9" w14:textId="77777777" w:rsidR="00BC35AA" w:rsidRDefault="00BC35AA" w:rsidP="00410EC0">
      <w:pPr>
        <w:jc w:val="left"/>
      </w:pPr>
    </w:p>
    <w:p w14:paraId="0B882244" w14:textId="77777777" w:rsidR="00BC35AA" w:rsidRDefault="00BC35AA" w:rsidP="00410EC0">
      <w:pPr>
        <w:jc w:val="left"/>
      </w:pPr>
    </w:p>
    <w:p w14:paraId="009740BB" w14:textId="77777777" w:rsidR="00BC35AA" w:rsidRDefault="00BC35AA" w:rsidP="00410EC0">
      <w:pPr>
        <w:jc w:val="left"/>
      </w:pPr>
    </w:p>
    <w:p w14:paraId="459AF7FC" w14:textId="77777777" w:rsidR="00BC35AA" w:rsidRDefault="00BC35AA" w:rsidP="00410EC0">
      <w:pPr>
        <w:jc w:val="left"/>
      </w:pPr>
    </w:p>
    <w:p w14:paraId="65286546" w14:textId="77777777" w:rsidR="00BC35AA" w:rsidRDefault="00BC35AA" w:rsidP="00410EC0">
      <w:pPr>
        <w:jc w:val="left"/>
      </w:pPr>
    </w:p>
    <w:p w14:paraId="59C214DB" w14:textId="77777777" w:rsidR="00BC35AA" w:rsidRDefault="00BC35AA" w:rsidP="00410EC0">
      <w:pPr>
        <w:jc w:val="left"/>
      </w:pPr>
    </w:p>
    <w:p w14:paraId="05A6FB04" w14:textId="77777777" w:rsidR="00BC35AA" w:rsidRDefault="00BC35AA" w:rsidP="00410EC0">
      <w:pPr>
        <w:jc w:val="left"/>
      </w:pPr>
    </w:p>
    <w:p w14:paraId="71F879AE" w14:textId="77777777" w:rsidR="00BC35AA" w:rsidRDefault="00BC35AA" w:rsidP="00410EC0">
      <w:pPr>
        <w:jc w:val="left"/>
      </w:pPr>
    </w:p>
    <w:p w14:paraId="6460EF03" w14:textId="77777777" w:rsidR="00BC35AA" w:rsidRDefault="00BC35AA" w:rsidP="00410EC0">
      <w:pPr>
        <w:jc w:val="left"/>
      </w:pPr>
    </w:p>
    <w:p w14:paraId="75BE2805" w14:textId="77777777" w:rsidR="00BC35AA" w:rsidRDefault="00BC35AA" w:rsidP="00410EC0">
      <w:pPr>
        <w:jc w:val="left"/>
      </w:pPr>
    </w:p>
    <w:p w14:paraId="0EA61B95" w14:textId="77777777" w:rsidR="00BC35AA" w:rsidRDefault="00BC35AA" w:rsidP="00410EC0">
      <w:pPr>
        <w:jc w:val="left"/>
      </w:pPr>
    </w:p>
    <w:p w14:paraId="157CD928" w14:textId="77777777" w:rsidR="00BC35AA" w:rsidRDefault="00BC35AA" w:rsidP="00410EC0">
      <w:pPr>
        <w:jc w:val="left"/>
      </w:pPr>
    </w:p>
    <w:p w14:paraId="71A38595" w14:textId="77777777" w:rsidR="00BC35AA" w:rsidRDefault="00BC35AA" w:rsidP="00410EC0">
      <w:pPr>
        <w:jc w:val="left"/>
      </w:pPr>
    </w:p>
    <w:p w14:paraId="29488BDB" w14:textId="77777777" w:rsidR="00BC35AA" w:rsidRDefault="00BC35AA" w:rsidP="00410EC0">
      <w:pPr>
        <w:jc w:val="left"/>
      </w:pPr>
    </w:p>
    <w:p w14:paraId="5F2A2B98" w14:textId="77777777" w:rsidR="00BC35AA" w:rsidRDefault="00BC35AA" w:rsidP="00410EC0">
      <w:pPr>
        <w:jc w:val="left"/>
      </w:pPr>
    </w:p>
    <w:p w14:paraId="6FD75AA8" w14:textId="77777777" w:rsidR="00BC35AA" w:rsidRDefault="00BC35AA" w:rsidP="00410EC0">
      <w:pPr>
        <w:jc w:val="left"/>
      </w:pPr>
    </w:p>
    <w:p w14:paraId="33BDC336" w14:textId="77777777" w:rsidR="00BC35AA" w:rsidRDefault="00BC35AA" w:rsidP="00410EC0">
      <w:pPr>
        <w:jc w:val="left"/>
      </w:pPr>
    </w:p>
    <w:p w14:paraId="11F6C2EA" w14:textId="77777777" w:rsidR="00BC35AA" w:rsidRDefault="00BC35AA" w:rsidP="00410EC0">
      <w:pPr>
        <w:jc w:val="left"/>
      </w:pPr>
    </w:p>
    <w:p w14:paraId="42A04BBF" w14:textId="77777777" w:rsidR="00BC35AA" w:rsidRDefault="00BC35AA" w:rsidP="00410EC0">
      <w:pPr>
        <w:jc w:val="left"/>
      </w:pPr>
    </w:p>
    <w:p w14:paraId="1A86B5D5" w14:textId="77777777" w:rsidR="00BC35AA" w:rsidRDefault="00BC35AA" w:rsidP="00410EC0">
      <w:pPr>
        <w:jc w:val="left"/>
      </w:pPr>
    </w:p>
    <w:p w14:paraId="3CFA5EE2" w14:textId="77777777" w:rsidR="00BC35AA" w:rsidRDefault="00BC35AA" w:rsidP="00410EC0">
      <w:pPr>
        <w:jc w:val="left"/>
      </w:pPr>
    </w:p>
    <w:p w14:paraId="6C16C7E9" w14:textId="77777777" w:rsidR="00BC35AA" w:rsidRDefault="00BC35AA" w:rsidP="00410EC0">
      <w:pPr>
        <w:jc w:val="left"/>
      </w:pPr>
    </w:p>
    <w:p w14:paraId="41001E3F" w14:textId="77777777" w:rsidR="00BC35AA" w:rsidRDefault="00BC35AA" w:rsidP="00410EC0">
      <w:pPr>
        <w:jc w:val="left"/>
      </w:pPr>
    </w:p>
    <w:p w14:paraId="3C95203E" w14:textId="77777777" w:rsidR="00BC35AA" w:rsidRDefault="00BC35AA" w:rsidP="00410EC0">
      <w:pPr>
        <w:jc w:val="left"/>
      </w:pPr>
    </w:p>
    <w:p w14:paraId="4002BDB2" w14:textId="77777777" w:rsidR="00BC35AA" w:rsidRDefault="00BC35AA" w:rsidP="00410EC0">
      <w:pPr>
        <w:jc w:val="left"/>
      </w:pPr>
    </w:p>
    <w:p w14:paraId="443420F8" w14:textId="77777777" w:rsidR="00BC35AA" w:rsidRDefault="00BC35AA" w:rsidP="00410EC0">
      <w:pPr>
        <w:jc w:val="left"/>
      </w:pPr>
    </w:p>
    <w:p w14:paraId="1EE192A0" w14:textId="77777777" w:rsidR="00BC35AA" w:rsidRDefault="00BC35AA" w:rsidP="00410EC0">
      <w:pPr>
        <w:jc w:val="left"/>
      </w:pPr>
    </w:p>
    <w:p w14:paraId="23CD29C9" w14:textId="77777777" w:rsidR="00BC35AA" w:rsidRDefault="00BC35AA" w:rsidP="00410EC0">
      <w:pPr>
        <w:jc w:val="left"/>
      </w:pPr>
    </w:p>
    <w:p w14:paraId="10C8C86F" w14:textId="77777777" w:rsidR="00BC35AA" w:rsidRDefault="00BC35AA" w:rsidP="00410EC0">
      <w:pPr>
        <w:jc w:val="left"/>
      </w:pPr>
    </w:p>
    <w:p w14:paraId="01BDF796" w14:textId="77777777" w:rsidR="00BC35AA" w:rsidRDefault="00BC35AA" w:rsidP="00410EC0">
      <w:pPr>
        <w:jc w:val="left"/>
      </w:pPr>
    </w:p>
    <w:p w14:paraId="6FCFDDE0" w14:textId="7890C658" w:rsidR="00BC35AA" w:rsidRDefault="00BC35AA" w:rsidP="00410EC0">
      <w:pPr>
        <w:jc w:val="left"/>
      </w:pPr>
      <w:r>
        <w:t xml:space="preserve">Аркуші погодження </w:t>
      </w:r>
      <w:r w:rsidR="002A7FB4">
        <w:t>додаються</w:t>
      </w:r>
      <w:r>
        <w:t>.</w:t>
      </w:r>
    </w:p>
    <w:p w14:paraId="7113D001" w14:textId="77777777" w:rsidR="00533325" w:rsidRDefault="00533325" w:rsidP="00410EC0">
      <w:pPr>
        <w:ind w:firstLine="5670"/>
        <w:jc w:val="left"/>
        <w:sectPr w:rsidR="00533325" w:rsidSect="00E74991">
          <w:headerReference w:type="default" r:id="rId14"/>
          <w:headerReference w:type="first" r:id="rId15"/>
          <w:pgSz w:w="11906" w:h="16838" w:code="9"/>
          <w:pgMar w:top="567" w:right="567" w:bottom="1701" w:left="1701" w:header="709" w:footer="709" w:gutter="0"/>
          <w:cols w:space="708"/>
          <w:titlePg/>
          <w:docGrid w:linePitch="381"/>
        </w:sectPr>
      </w:pPr>
    </w:p>
    <w:p w14:paraId="07646EDB" w14:textId="77777777" w:rsidR="00410EC0" w:rsidRDefault="004B5F87" w:rsidP="006F11C2">
      <w:pPr>
        <w:ind w:firstLine="5954"/>
        <w:jc w:val="left"/>
      </w:pPr>
      <w:r>
        <w:t>ЗАТВЕРДЖЕНО</w:t>
      </w:r>
      <w:r w:rsidR="00410EC0">
        <w:t xml:space="preserve"> </w:t>
      </w:r>
    </w:p>
    <w:p w14:paraId="32FD829A" w14:textId="431E6EF9" w:rsidR="00410EC0" w:rsidRDefault="002A7FB4" w:rsidP="006F11C2">
      <w:pPr>
        <w:ind w:firstLine="5954"/>
        <w:jc w:val="left"/>
      </w:pPr>
      <w:r>
        <w:t>Постанова</w:t>
      </w:r>
      <w:r w:rsidR="00410EC0">
        <w:t xml:space="preserve"> Правління </w:t>
      </w:r>
    </w:p>
    <w:p w14:paraId="42882CE1" w14:textId="77777777" w:rsidR="00410EC0" w:rsidRDefault="00410EC0" w:rsidP="006F11C2">
      <w:pPr>
        <w:ind w:firstLine="5954"/>
        <w:jc w:val="left"/>
      </w:pPr>
      <w:r>
        <w:t>Національного банку України</w:t>
      </w:r>
    </w:p>
    <w:p w14:paraId="7D2E92E5" w14:textId="77777777" w:rsidR="00410EC0" w:rsidRDefault="00410EC0" w:rsidP="00410EC0">
      <w:pPr>
        <w:jc w:val="center"/>
      </w:pPr>
    </w:p>
    <w:p w14:paraId="7EC64F40" w14:textId="77777777" w:rsidR="00410EC0" w:rsidRDefault="00410EC0" w:rsidP="00410EC0">
      <w:pPr>
        <w:jc w:val="center"/>
      </w:pPr>
    </w:p>
    <w:p w14:paraId="18DB5864" w14:textId="77777777" w:rsidR="00410EC0" w:rsidRDefault="009D7E51" w:rsidP="00410EC0">
      <w:pPr>
        <w:jc w:val="center"/>
        <w:rPr>
          <w:rFonts w:eastAsiaTheme="minorEastAsia"/>
          <w:noProof/>
          <w:color w:val="000000" w:themeColor="text1"/>
          <w:lang w:eastAsia="en-US"/>
        </w:rPr>
      </w:pPr>
      <w:r>
        <w:rPr>
          <w:rFonts w:eastAsiaTheme="minorEastAsia"/>
          <w:noProof/>
          <w:color w:val="000000" w:themeColor="text1"/>
          <w:lang w:eastAsia="en-US"/>
        </w:rPr>
        <w:t xml:space="preserve">Зміни до </w:t>
      </w:r>
      <w:r w:rsidRPr="007050D3">
        <w:rPr>
          <w:rFonts w:eastAsiaTheme="minorEastAsia"/>
          <w:noProof/>
          <w:color w:val="000000" w:themeColor="text1"/>
          <w:lang w:eastAsia="en-US"/>
        </w:rPr>
        <w:t>Положення про провадження депозитарної і клірингової діяльності та забезпечення здійснення розрахунків за правочинами щодо цінних паперів Національним банком України</w:t>
      </w:r>
    </w:p>
    <w:p w14:paraId="31DABDD5" w14:textId="77777777" w:rsidR="009D7E51" w:rsidRPr="00035A12" w:rsidRDefault="009D7E51" w:rsidP="00035A12">
      <w:pPr>
        <w:ind w:firstLine="709"/>
        <w:jc w:val="center"/>
      </w:pPr>
    </w:p>
    <w:p w14:paraId="2FB1757D" w14:textId="77777777" w:rsidR="00410EC0" w:rsidRPr="00035A12" w:rsidRDefault="004B5F87" w:rsidP="00035A12">
      <w:pPr>
        <w:pStyle w:val="af3"/>
        <w:numPr>
          <w:ilvl w:val="0"/>
          <w:numId w:val="1"/>
        </w:numPr>
        <w:ind w:left="0" w:firstLine="709"/>
      </w:pPr>
      <w:r w:rsidRPr="00035A12">
        <w:t>У розділі І:</w:t>
      </w:r>
    </w:p>
    <w:p w14:paraId="45F4FF79" w14:textId="77777777" w:rsidR="004B5F87" w:rsidRPr="00035A12" w:rsidRDefault="004B5F87" w:rsidP="00035A12">
      <w:pPr>
        <w:pStyle w:val="af3"/>
        <w:ind w:left="0" w:firstLine="709"/>
      </w:pPr>
    </w:p>
    <w:p w14:paraId="62F98E3C" w14:textId="2957846A" w:rsidR="004B5F87" w:rsidRPr="00035A12" w:rsidRDefault="00943A2C" w:rsidP="00035A12">
      <w:pPr>
        <w:pStyle w:val="af3"/>
        <w:numPr>
          <w:ilvl w:val="0"/>
          <w:numId w:val="2"/>
        </w:numPr>
        <w:ind w:left="0" w:firstLine="709"/>
      </w:pPr>
      <w:r w:rsidRPr="00035A12">
        <w:t>у пункті 2</w:t>
      </w:r>
      <w:r w:rsidR="00CC4B2A" w:rsidRPr="00035A12">
        <w:t xml:space="preserve"> глав</w:t>
      </w:r>
      <w:r>
        <w:t>и</w:t>
      </w:r>
      <w:r w:rsidR="00CC4B2A" w:rsidRPr="00035A12">
        <w:t xml:space="preserve"> 1:</w:t>
      </w:r>
    </w:p>
    <w:p w14:paraId="19796D36" w14:textId="77777777" w:rsidR="00CC4B2A" w:rsidRPr="00035A12" w:rsidRDefault="00CC4B2A">
      <w:pPr>
        <w:ind w:firstLine="709"/>
      </w:pPr>
      <w:r w:rsidRPr="00035A12">
        <w:t>підпункт 5 викласти в такій редакції:</w:t>
      </w:r>
    </w:p>
    <w:p w14:paraId="625F78C5" w14:textId="178BB828" w:rsidR="00CC4B2A" w:rsidRPr="00035A12" w:rsidRDefault="00CC4B2A" w:rsidP="000765D7">
      <w:pPr>
        <w:ind w:firstLine="709"/>
      </w:pPr>
      <w:r w:rsidRPr="00035A12">
        <w:t xml:space="preserve">“5) дата платежу – день здійснення розрахунків за результатами розміщення цінних паперів, уключаючи розміщення під час аукціону з обміну </w:t>
      </w:r>
      <w:r w:rsidR="001C4419">
        <w:t>о</w:t>
      </w:r>
      <w:r w:rsidR="001C4419" w:rsidRPr="001C4419">
        <w:t>блігацій (далі – аукціон з обміну ОВДП)</w:t>
      </w:r>
      <w:r w:rsidRPr="00035A12">
        <w:t>, та/або платежів з виплати доходу та/або погашення цінних паперів та/або інших виплат, передбачених проспектом або рішенням про емісію ОЗДП або державних деривативів, або умовами корпоративних операцій (подій) з ОЗДП або державними деривативами (далі – інші виплати);”;</w:t>
      </w:r>
    </w:p>
    <w:p w14:paraId="03A91AB3" w14:textId="77777777" w:rsidR="00815CB9" w:rsidRPr="00035A12" w:rsidRDefault="00815CB9" w:rsidP="00035A12">
      <w:pPr>
        <w:ind w:firstLine="709"/>
      </w:pPr>
      <w:r w:rsidRPr="00035A12">
        <w:t>у підпункті 18 літери “ЦП” замінити літерами “ОВДП”;</w:t>
      </w:r>
    </w:p>
    <w:p w14:paraId="0972058B" w14:textId="4410A0DD" w:rsidR="00E97A59" w:rsidRPr="00035A12" w:rsidRDefault="00A70B1B" w:rsidP="000765D7">
      <w:pPr>
        <w:ind w:firstLine="709"/>
      </w:pPr>
      <w:r>
        <w:t xml:space="preserve">пункт </w:t>
      </w:r>
      <w:r w:rsidR="00815CB9" w:rsidRPr="00035A12">
        <w:t>після підпункту 19 доповнити новим підпунктом 19</w:t>
      </w:r>
      <w:r w:rsidR="00815CB9" w:rsidRPr="00035A12">
        <w:rPr>
          <w:vertAlign w:val="superscript"/>
        </w:rPr>
        <w:t>1</w:t>
      </w:r>
      <w:r w:rsidR="00815CB9" w:rsidRPr="00035A12">
        <w:t xml:space="preserve"> такого змісту:</w:t>
      </w:r>
    </w:p>
    <w:p w14:paraId="764B6808" w14:textId="77777777" w:rsidR="00815CB9" w:rsidRPr="00035A12" w:rsidRDefault="00815CB9" w:rsidP="00035A12">
      <w:pPr>
        <w:ind w:firstLine="709"/>
      </w:pPr>
      <w:r w:rsidRPr="00035A12">
        <w:t>“19</w:t>
      </w:r>
      <w:r w:rsidRPr="00035A12">
        <w:rPr>
          <w:vertAlign w:val="superscript"/>
        </w:rPr>
        <w:t>1</w:t>
      </w:r>
      <w:r w:rsidRPr="00035A12">
        <w:t>) поставка цінних паперів проти поставки цінних паперів - механізм розрахунків за правочинами щодо ОВДП, під час якого переказ ОВДП, що вже перебувають в обігу та відповідно до умов правочину підлягають обміну на ОВДП, що розміщуються (далі – ОВДП в обігу), та переказ суми грошової різниці вартостей ОВДП, що розміщуються, та ОВДП в обігу (за необхідності) відбуваються після переказу ОВДП, та/або переказу прав на ОВДП та прав за ОВДП, що розміщуються емітентом на аукціоні з обміну ОВДП, з умовою блокування їх на рахунку отримувача до завершення розрахунків;”;</w:t>
      </w:r>
    </w:p>
    <w:p w14:paraId="45E2E022" w14:textId="4CF80EB8" w:rsidR="00B22804" w:rsidRPr="00035A12" w:rsidRDefault="00A70B1B" w:rsidP="00035A12">
      <w:pPr>
        <w:ind w:firstLine="709"/>
      </w:pPr>
      <w:r>
        <w:t xml:space="preserve">пункт </w:t>
      </w:r>
      <w:r w:rsidR="00B22804" w:rsidRPr="00035A12">
        <w:t>після підпункту 24 доповнити новим підпунктом 24</w:t>
      </w:r>
      <w:r w:rsidR="00B22804" w:rsidRPr="00035A12">
        <w:rPr>
          <w:vertAlign w:val="superscript"/>
        </w:rPr>
        <w:t>1</w:t>
      </w:r>
      <w:r w:rsidR="00B22804" w:rsidRPr="00035A12">
        <w:t xml:space="preserve"> такого змісту:</w:t>
      </w:r>
    </w:p>
    <w:p w14:paraId="2BBD617A" w14:textId="77777777" w:rsidR="00B22804" w:rsidRPr="00035A12" w:rsidRDefault="00B22804" w:rsidP="00035A12">
      <w:pPr>
        <w:ind w:firstLine="709"/>
      </w:pPr>
      <w:r w:rsidRPr="00035A12">
        <w:t>“24</w:t>
      </w:r>
      <w:r w:rsidRPr="00035A12">
        <w:rPr>
          <w:vertAlign w:val="superscript"/>
        </w:rPr>
        <w:t>1</w:t>
      </w:r>
      <w:r w:rsidRPr="00035A12">
        <w:t>) транскордонна операція – облікова операція списання/зарахування ЦП, яка виконується через встановлені кореспондентські відносини між депозитарієм Національного банку та іноземним депозитарієм;”;</w:t>
      </w:r>
    </w:p>
    <w:p w14:paraId="1B515918" w14:textId="550F9243" w:rsidR="00B22804" w:rsidRDefault="006A33CE" w:rsidP="00035A12">
      <w:pPr>
        <w:ind w:firstLine="709"/>
      </w:pPr>
      <w:r w:rsidRPr="00035A12">
        <w:t>абзац</w:t>
      </w:r>
      <w:r w:rsidR="00B22804" w:rsidRPr="00035A12">
        <w:t xml:space="preserve"> двадцять </w:t>
      </w:r>
      <w:r w:rsidR="00DF665A">
        <w:t>дев’ятий</w:t>
      </w:r>
      <w:r w:rsidR="00DF665A" w:rsidRPr="00035A12">
        <w:t xml:space="preserve"> </w:t>
      </w:r>
      <w:r w:rsidR="00B22804" w:rsidRPr="00035A12">
        <w:t xml:space="preserve">після </w:t>
      </w:r>
      <w:r w:rsidRPr="00035A12">
        <w:t>слова “банку” доповнити словами “</w:t>
      </w:r>
      <w:r w:rsidR="00DF665A">
        <w:t xml:space="preserve">, </w:t>
      </w:r>
      <w:r w:rsidRPr="00035A12">
        <w:t>Кабінету Міністрів України”;</w:t>
      </w:r>
    </w:p>
    <w:p w14:paraId="7FE100FF" w14:textId="77777777" w:rsidR="003F3F9A" w:rsidRPr="00035A12" w:rsidRDefault="003F3F9A" w:rsidP="00035A12">
      <w:pPr>
        <w:ind w:firstLine="709"/>
      </w:pPr>
    </w:p>
    <w:p w14:paraId="1AD3A40B" w14:textId="77777777" w:rsidR="006A33CE" w:rsidRPr="00035A12" w:rsidRDefault="006A33CE" w:rsidP="006F11C2">
      <w:pPr>
        <w:pStyle w:val="af3"/>
        <w:numPr>
          <w:ilvl w:val="0"/>
          <w:numId w:val="2"/>
        </w:numPr>
        <w:tabs>
          <w:tab w:val="left" w:pos="993"/>
        </w:tabs>
        <w:ind w:left="0" w:firstLine="709"/>
      </w:pPr>
      <w:r w:rsidRPr="00035A12">
        <w:t>у главі 3:</w:t>
      </w:r>
    </w:p>
    <w:p w14:paraId="444907EC" w14:textId="0E48CC00" w:rsidR="006A33CE" w:rsidRPr="00035A12" w:rsidRDefault="00252AEE" w:rsidP="00035A12">
      <w:pPr>
        <w:ind w:firstLine="709"/>
      </w:pPr>
      <w:r>
        <w:t>перше, друге речення</w:t>
      </w:r>
      <w:r w:rsidRPr="00035A12">
        <w:t xml:space="preserve"> </w:t>
      </w:r>
      <w:r w:rsidR="000458B2" w:rsidRPr="00035A12">
        <w:t>пункт</w:t>
      </w:r>
      <w:r>
        <w:t>у</w:t>
      </w:r>
      <w:r w:rsidR="000458B2" w:rsidRPr="00035A12">
        <w:t xml:space="preserve"> 18</w:t>
      </w:r>
      <w:r>
        <w:t xml:space="preserve"> викласти у такій редакції</w:t>
      </w:r>
      <w:r w:rsidR="000458B2" w:rsidRPr="00035A12">
        <w:t xml:space="preserve">: </w:t>
      </w:r>
    </w:p>
    <w:p w14:paraId="63C85948" w14:textId="18A570A1" w:rsidR="008B5586" w:rsidRPr="00035A12" w:rsidRDefault="000458B2" w:rsidP="00800A3D">
      <w:pPr>
        <w:ind w:firstLine="709"/>
      </w:pPr>
      <w:r w:rsidRPr="00035A12">
        <w:t>“</w:t>
      </w:r>
      <w:r w:rsidR="00800A3D">
        <w:t>18.</w:t>
      </w:r>
      <w:r w:rsidR="00800A3D" w:rsidRPr="00800A3D">
        <w:t xml:space="preserve"> Відповідальний підрозділ для надання Національним банком послуг депозитарію Національного банку та депозитарної установи розробляє договори, визначені Законом та/або цим Положенням, та затверджує форми таких договорів розпорядчим актом Національного банку, крім договорів, які укладаються шляхом приєднання клієнта/депонента до запропонованого Національним банком договору. Відповідальний підрозділ має право оприлюднювати умови затверджених форм договорів на сторінці офіційного Інтернет-представництва Національного банку. </w:t>
      </w:r>
      <w:r w:rsidR="008B5586" w:rsidRPr="00035A12">
        <w:t>”;</w:t>
      </w:r>
    </w:p>
    <w:p w14:paraId="1815FE8B" w14:textId="77777777" w:rsidR="008B5586" w:rsidRDefault="00E67F6F" w:rsidP="00035A12">
      <w:pPr>
        <w:ind w:firstLine="709"/>
      </w:pPr>
      <w:r w:rsidRPr="00035A12">
        <w:t>у другому реченні пункту 19 слова “заступником Голови Національного банку, який відповідно до розподілу функціональних обов'язків відповідає за здійснення Національним банком депозитарної діяльності,” замінити словами “</w:t>
      </w:r>
      <w:r w:rsidR="00332BC4">
        <w:t>розпорядчим актом</w:t>
      </w:r>
      <w:r w:rsidRPr="00035A12">
        <w:t xml:space="preserve"> Національного банку”;</w:t>
      </w:r>
    </w:p>
    <w:p w14:paraId="1ED2D6BE" w14:textId="7B9376BF" w:rsidR="006C05BB" w:rsidRDefault="006C05BB" w:rsidP="00035A12">
      <w:pPr>
        <w:ind w:firstLine="709"/>
      </w:pPr>
      <w:r>
        <w:t xml:space="preserve">підпункт </w:t>
      </w:r>
      <w:r w:rsidR="00A3474F">
        <w:t>2</w:t>
      </w:r>
      <w:r w:rsidR="00033971">
        <w:t xml:space="preserve"> </w:t>
      </w:r>
      <w:r>
        <w:t xml:space="preserve">пункту 22 після слова </w:t>
      </w:r>
      <w:r w:rsidRPr="00571F58">
        <w:rPr>
          <w:lang w:val="ru-RU"/>
        </w:rPr>
        <w:t>“</w:t>
      </w:r>
      <w:r>
        <w:t>засобами</w:t>
      </w:r>
      <w:r w:rsidRPr="00571F58">
        <w:rPr>
          <w:lang w:val="ru-RU"/>
        </w:rPr>
        <w:t>”</w:t>
      </w:r>
      <w:r>
        <w:t xml:space="preserve"> доповнити словом</w:t>
      </w:r>
      <w:r w:rsidRPr="00571F58">
        <w:rPr>
          <w:lang w:val="ru-RU"/>
        </w:rPr>
        <w:t xml:space="preserve"> “</w:t>
      </w:r>
      <w:r>
        <w:t>системи</w:t>
      </w:r>
      <w:r w:rsidRPr="00571F58">
        <w:rPr>
          <w:lang w:val="ru-RU"/>
        </w:rPr>
        <w:t>”</w:t>
      </w:r>
      <w:r>
        <w:t>;</w:t>
      </w:r>
    </w:p>
    <w:p w14:paraId="545F21C9" w14:textId="77777777" w:rsidR="003F3F9A" w:rsidRPr="006C05BB" w:rsidRDefault="003F3F9A" w:rsidP="00035A12">
      <w:pPr>
        <w:ind w:firstLine="709"/>
      </w:pPr>
    </w:p>
    <w:p w14:paraId="1984EC00" w14:textId="77777777" w:rsidR="00815CB9" w:rsidRPr="00035A12" w:rsidRDefault="00E67F6F" w:rsidP="00035A12">
      <w:pPr>
        <w:pStyle w:val="af3"/>
        <w:numPr>
          <w:ilvl w:val="0"/>
          <w:numId w:val="2"/>
        </w:numPr>
        <w:ind w:left="0" w:firstLine="709"/>
      </w:pPr>
      <w:r w:rsidRPr="00035A12">
        <w:t>у главі 3</w:t>
      </w:r>
      <w:r w:rsidRPr="00035A12">
        <w:rPr>
          <w:vertAlign w:val="superscript"/>
        </w:rPr>
        <w:t>1</w:t>
      </w:r>
      <w:r w:rsidRPr="00035A12">
        <w:t>:</w:t>
      </w:r>
    </w:p>
    <w:p w14:paraId="1B5E7F96" w14:textId="135AB748" w:rsidR="00E67F6F" w:rsidRPr="00035A12" w:rsidRDefault="00E67F6F" w:rsidP="00035A12">
      <w:pPr>
        <w:ind w:firstLine="709"/>
      </w:pPr>
      <w:r w:rsidRPr="00035A12">
        <w:t xml:space="preserve">у підпункті </w:t>
      </w:r>
      <w:r w:rsidR="00A3474F">
        <w:t>2</w:t>
      </w:r>
      <w:r w:rsidR="00033971">
        <w:t xml:space="preserve"> </w:t>
      </w:r>
      <w:r w:rsidRPr="00035A12">
        <w:t>пункту 22</w:t>
      </w:r>
      <w:r w:rsidRPr="00035A12">
        <w:rPr>
          <w:vertAlign w:val="superscript"/>
        </w:rPr>
        <w:t>1</w:t>
      </w:r>
      <w:r w:rsidRPr="00035A12">
        <w:t xml:space="preserve"> літери “ЦП” замінити літерами “ОВДП”;</w:t>
      </w:r>
    </w:p>
    <w:p w14:paraId="13517131" w14:textId="77777777" w:rsidR="00DE2DEA" w:rsidRPr="00035A12" w:rsidRDefault="00DE2DEA" w:rsidP="00035A12">
      <w:pPr>
        <w:ind w:firstLine="709"/>
      </w:pPr>
      <w:r w:rsidRPr="00035A12">
        <w:t>у пункті 22</w:t>
      </w:r>
      <w:r w:rsidRPr="00035A12">
        <w:rPr>
          <w:vertAlign w:val="superscript"/>
        </w:rPr>
        <w:t>4</w:t>
      </w:r>
      <w:r w:rsidRPr="00035A12">
        <w:t>:</w:t>
      </w:r>
    </w:p>
    <w:p w14:paraId="36701428" w14:textId="2479060D" w:rsidR="00DE2DEA" w:rsidRPr="00035A12" w:rsidRDefault="00DE2DEA" w:rsidP="00035A12">
      <w:pPr>
        <w:ind w:firstLine="709"/>
      </w:pPr>
      <w:r w:rsidRPr="00035A12">
        <w:t>підпункт</w:t>
      </w:r>
      <w:r w:rsidR="00B35F02">
        <w:t xml:space="preserve"> 1</w:t>
      </w:r>
      <w:r w:rsidRPr="00035A12">
        <w:t xml:space="preserve"> після слова </w:t>
      </w:r>
      <w:r w:rsidR="00B35F02" w:rsidRPr="00035A12">
        <w:t>«</w:t>
      </w:r>
      <w:r w:rsidRPr="00035A12">
        <w:t>оплати”</w:t>
      </w:r>
      <w:r w:rsidR="00B35F02" w:rsidRPr="00035A12">
        <w:t>»</w:t>
      </w:r>
      <w:r w:rsidRPr="00035A12">
        <w:t xml:space="preserve"> доповнити словами </w:t>
      </w:r>
      <w:r w:rsidR="003115BA" w:rsidRPr="00035A12">
        <w:t>«</w:t>
      </w:r>
      <w:r w:rsidRPr="00035A12">
        <w:t>, “поставка цінних папері</w:t>
      </w:r>
      <w:r w:rsidR="003115BA" w:rsidRPr="00035A12">
        <w:t>в проти поставки цінних паперів</w:t>
      </w:r>
      <w:r w:rsidRPr="00035A12">
        <w:t>”</w:t>
      </w:r>
      <w:r w:rsidR="003115BA" w:rsidRPr="00035A12">
        <w:t>»</w:t>
      </w:r>
      <w:r w:rsidRPr="00035A12">
        <w:t xml:space="preserve">; </w:t>
      </w:r>
    </w:p>
    <w:p w14:paraId="04C21495" w14:textId="14250731" w:rsidR="002E344C" w:rsidRPr="00035A12" w:rsidRDefault="002E344C" w:rsidP="00035A12">
      <w:pPr>
        <w:ind w:firstLine="709"/>
      </w:pPr>
      <w:r w:rsidRPr="00035A12">
        <w:t>підпункт</w:t>
      </w:r>
      <w:r w:rsidR="00A3474F">
        <w:t xml:space="preserve"> </w:t>
      </w:r>
      <w:r w:rsidR="00937F8E">
        <w:t>3</w:t>
      </w:r>
      <w:r w:rsidR="00A3474F">
        <w:t xml:space="preserve"> викласти у такій редакції</w:t>
      </w:r>
      <w:r w:rsidRPr="00035A12">
        <w:t>:</w:t>
      </w:r>
    </w:p>
    <w:p w14:paraId="1A74F1D6" w14:textId="0256E660" w:rsidR="002E344C" w:rsidRDefault="002E344C" w:rsidP="00A3474F">
      <w:pPr>
        <w:tabs>
          <w:tab w:val="left" w:pos="993"/>
          <w:tab w:val="left" w:pos="1134"/>
        </w:tabs>
        <w:ind w:firstLine="709"/>
      </w:pPr>
      <w:r w:rsidRPr="00035A12">
        <w:t>“</w:t>
      </w:r>
      <w:r w:rsidR="00A3474F">
        <w:t xml:space="preserve">3) </w:t>
      </w:r>
      <w:r w:rsidR="00A3474F" w:rsidRPr="00A3474F">
        <w:t>правочини щодо ОВДП, розрахунки за якими здійснюються/забезпечуються за принцип</w:t>
      </w:r>
      <w:r w:rsidR="004244E4">
        <w:t>ами</w:t>
      </w:r>
      <w:r w:rsidR="00A3474F" w:rsidRPr="00A3474F">
        <w:t xml:space="preserve"> “оплата проти поставки цінних паперів”, “поставка цінних паперів проти поставки цінних паперів”, вчинені в інтересах учасників клірингу/клієнтів учасників клірингу, які є первинними дилерами або у випадках, передбачених законодавством України, в інтересах клієнтів первинних дилерів;</w:t>
      </w:r>
      <w:r w:rsidRPr="00035A12">
        <w:t>”</w:t>
      </w:r>
      <w:r w:rsidR="00C770BA" w:rsidRPr="00035A12">
        <w:t>;</w:t>
      </w:r>
    </w:p>
    <w:p w14:paraId="136E6C5F" w14:textId="77777777" w:rsidR="00CD3EFA" w:rsidRDefault="00CD3EFA" w:rsidP="00035A12">
      <w:pPr>
        <w:ind w:firstLine="709"/>
      </w:pPr>
      <w:r w:rsidRPr="00035A12">
        <w:t>у пункті 22</w:t>
      </w:r>
      <w:r>
        <w:rPr>
          <w:vertAlign w:val="superscript"/>
        </w:rPr>
        <w:t>5</w:t>
      </w:r>
      <w:r w:rsidRPr="00035A12">
        <w:t>:</w:t>
      </w:r>
    </w:p>
    <w:p w14:paraId="0E4032E2" w14:textId="5AD098CF" w:rsidR="00CD3EFA" w:rsidRDefault="00CD3EFA" w:rsidP="00035A12">
      <w:pPr>
        <w:ind w:firstLine="709"/>
      </w:pPr>
      <w:r>
        <w:t xml:space="preserve">підпункт </w:t>
      </w:r>
      <w:r w:rsidR="00B35F02">
        <w:t xml:space="preserve">1 </w:t>
      </w:r>
      <w:r>
        <w:t xml:space="preserve">після слова </w:t>
      </w:r>
      <w:r w:rsidRPr="00571F58">
        <w:rPr>
          <w:lang w:val="ru-RU"/>
        </w:rPr>
        <w:t>“</w:t>
      </w:r>
      <w:r>
        <w:t>клірингу</w:t>
      </w:r>
      <w:r w:rsidRPr="00571F58">
        <w:rPr>
          <w:lang w:val="ru-RU"/>
        </w:rPr>
        <w:t>”</w:t>
      </w:r>
      <w:r>
        <w:t xml:space="preserve"> доповнити словами</w:t>
      </w:r>
      <w:r w:rsidRPr="00571F58">
        <w:rPr>
          <w:lang w:val="ru-RU"/>
        </w:rPr>
        <w:t xml:space="preserve"> “/</w:t>
      </w:r>
      <w:r w:rsidRPr="00CD3EFA">
        <w:t>керуючими</w:t>
      </w:r>
      <w:r w:rsidRPr="00571F58">
        <w:rPr>
          <w:lang w:val="ru-RU"/>
        </w:rPr>
        <w:t xml:space="preserve"> </w:t>
      </w:r>
      <w:r w:rsidRPr="00CD3EFA">
        <w:t>рахунком</w:t>
      </w:r>
      <w:r w:rsidRPr="00571F58">
        <w:rPr>
          <w:lang w:val="ru-RU"/>
        </w:rPr>
        <w:t>”</w:t>
      </w:r>
      <w:r>
        <w:t>;</w:t>
      </w:r>
    </w:p>
    <w:p w14:paraId="4FECCEAF" w14:textId="37C66D61" w:rsidR="00B000A2" w:rsidRDefault="00B000A2" w:rsidP="00035A12">
      <w:pPr>
        <w:ind w:firstLine="709"/>
      </w:pPr>
      <w:r>
        <w:t>підпункт 2</w:t>
      </w:r>
      <w:r w:rsidR="00937F8E">
        <w:t xml:space="preserve"> викласти у такій редакції</w:t>
      </w:r>
      <w:r w:rsidR="00C75770">
        <w:t>:</w:t>
      </w:r>
    </w:p>
    <w:p w14:paraId="0CBF9233" w14:textId="685604E7" w:rsidR="00C75770" w:rsidRDefault="00C75770" w:rsidP="00937F8E">
      <w:pPr>
        <w:ind w:firstLine="709"/>
      </w:pPr>
      <w:r w:rsidRPr="00035A12">
        <w:t>“</w:t>
      </w:r>
      <w:r w:rsidR="00937F8E">
        <w:t>2)</w:t>
      </w:r>
      <w:r w:rsidR="00937F8E" w:rsidRPr="00937F8E">
        <w:t xml:space="preserve"> інформації про результати розміщення ОВДП  та інформації із системи депозитарного обліку депозитарію Національного банку про виплату доходів/погашень за ЦП, якщо розрахунки здійснюються за принцип</w:t>
      </w:r>
      <w:r w:rsidR="00C254D0">
        <w:t>ами</w:t>
      </w:r>
      <w:r w:rsidR="00937F8E" w:rsidRPr="00937F8E">
        <w:t xml:space="preserve"> “оплата проти поставки цінних паперів”, “поставка цінних паперів проти поставки цінних паперів” та для проведення грошового клірингу.</w:t>
      </w:r>
      <w:r w:rsidRPr="00571F58">
        <w:rPr>
          <w:lang w:val="ru-RU"/>
        </w:rPr>
        <w:t>”</w:t>
      </w:r>
      <w:r>
        <w:t>;</w:t>
      </w:r>
    </w:p>
    <w:p w14:paraId="2C586933" w14:textId="72C83E07" w:rsidR="002F57F4" w:rsidRDefault="00AB775A" w:rsidP="00035A12">
      <w:pPr>
        <w:ind w:firstLine="709"/>
      </w:pPr>
      <w:r>
        <w:t xml:space="preserve">у </w:t>
      </w:r>
      <w:r w:rsidR="002F57F4">
        <w:t>підпункт</w:t>
      </w:r>
      <w:r>
        <w:t>і</w:t>
      </w:r>
      <w:r w:rsidR="002F57F4">
        <w:t xml:space="preserve"> 2 пункту 22</w:t>
      </w:r>
      <w:r w:rsidR="002F57F4" w:rsidRPr="002F57F4">
        <w:rPr>
          <w:vertAlign w:val="superscript"/>
        </w:rPr>
        <w:t>6</w:t>
      </w:r>
      <w:r w:rsidR="002F57F4">
        <w:t xml:space="preserve"> слова </w:t>
      </w:r>
      <w:r w:rsidR="002F57F4" w:rsidRPr="00035A12">
        <w:t>«</w:t>
      </w:r>
      <w:r w:rsidR="000102C1">
        <w:t xml:space="preserve">принципом </w:t>
      </w:r>
      <w:r w:rsidR="000102C1" w:rsidRPr="000102C1">
        <w:t>“оплата проти поставки цінних паперів”</w:t>
      </w:r>
      <w:r w:rsidR="000102C1">
        <w:t xml:space="preserve">» замінити словами «принципами </w:t>
      </w:r>
      <w:r w:rsidR="000102C1" w:rsidRPr="002A4341">
        <w:rPr>
          <w:color w:val="000000"/>
        </w:rPr>
        <w:t>“оплата проти поставки цінних паперів”</w:t>
      </w:r>
      <w:r w:rsidR="002F57F4" w:rsidRPr="00035A12">
        <w:t>, “поставка цінних паперів проти поставки цінних паперів”»</w:t>
      </w:r>
      <w:r w:rsidR="002F57F4">
        <w:t>;</w:t>
      </w:r>
    </w:p>
    <w:p w14:paraId="56C8859E" w14:textId="77777777" w:rsidR="002F57F4" w:rsidRDefault="002F57F4" w:rsidP="002F57F4">
      <w:pPr>
        <w:ind w:firstLine="709"/>
      </w:pPr>
      <w:r>
        <w:t>пункт 22</w:t>
      </w:r>
      <w:r>
        <w:rPr>
          <w:vertAlign w:val="superscript"/>
        </w:rPr>
        <w:t>9</w:t>
      </w:r>
      <w:r>
        <w:t xml:space="preserve"> доповнити словами </w:t>
      </w:r>
      <w:r w:rsidRPr="00035A12">
        <w:t>«, “поставка цінних паперів проти поставки цінних паперів”»</w:t>
      </w:r>
      <w:r>
        <w:t>;</w:t>
      </w:r>
    </w:p>
    <w:p w14:paraId="65BAF229" w14:textId="070098D1" w:rsidR="00411597" w:rsidRDefault="00411597" w:rsidP="00411597">
      <w:pPr>
        <w:ind w:firstLine="709"/>
      </w:pPr>
      <w:r>
        <w:t>перше речення пункту 22</w:t>
      </w:r>
      <w:r w:rsidRPr="00411597">
        <w:rPr>
          <w:vertAlign w:val="superscript"/>
        </w:rPr>
        <w:t>10</w:t>
      </w:r>
      <w:r>
        <w:t xml:space="preserve"> після сл</w:t>
      </w:r>
      <w:r w:rsidR="00B96CA9">
        <w:t>ів</w:t>
      </w:r>
      <w:r>
        <w:t xml:space="preserve"> </w:t>
      </w:r>
      <w:r w:rsidR="00300D2E" w:rsidRPr="00035A12">
        <w:t>«</w:t>
      </w:r>
      <w:r w:rsidR="00B96CA9">
        <w:t>поставки цінних паперів</w:t>
      </w:r>
      <w:r w:rsidRPr="00571F58">
        <w:rPr>
          <w:lang w:val="ru-RU"/>
        </w:rPr>
        <w:t>”</w:t>
      </w:r>
      <w:r w:rsidR="00300D2E" w:rsidRPr="00035A12">
        <w:t>»</w:t>
      </w:r>
      <w:r>
        <w:t xml:space="preserve"> доповнити словами </w:t>
      </w:r>
      <w:r w:rsidRPr="00035A12">
        <w:t>«, “поставка цінних паперів проти поставки цінних паперів”»</w:t>
      </w:r>
      <w:r>
        <w:t>;</w:t>
      </w:r>
    </w:p>
    <w:p w14:paraId="64D73622" w14:textId="77777777" w:rsidR="007E293D" w:rsidRDefault="007E293D" w:rsidP="00411597">
      <w:pPr>
        <w:ind w:firstLine="709"/>
      </w:pPr>
    </w:p>
    <w:p w14:paraId="4FE90116" w14:textId="3CF35095" w:rsidR="001000B8" w:rsidRDefault="001000B8" w:rsidP="00411597">
      <w:pPr>
        <w:ind w:firstLine="709"/>
      </w:pPr>
      <w:r w:rsidRPr="00571F58">
        <w:rPr>
          <w:lang w:val="ru-RU"/>
        </w:rPr>
        <w:t>4)</w:t>
      </w:r>
      <w:r w:rsidR="0004044E" w:rsidRPr="00571F58">
        <w:rPr>
          <w:lang w:val="ru-RU"/>
        </w:rPr>
        <w:t xml:space="preserve"> </w:t>
      </w:r>
      <w:r>
        <w:t>у підпункті</w:t>
      </w:r>
      <w:r w:rsidR="00E94065">
        <w:t xml:space="preserve"> 2</w:t>
      </w:r>
      <w:r>
        <w:t xml:space="preserve"> пункту 32 глави 4 слова </w:t>
      </w:r>
      <w:r w:rsidRPr="00571F58">
        <w:rPr>
          <w:lang w:val="ru-RU"/>
        </w:rPr>
        <w:t>“</w:t>
      </w:r>
      <w:r w:rsidR="0004044E">
        <w:t>паперовому вигляді</w:t>
      </w:r>
      <w:r w:rsidRPr="00571F58">
        <w:rPr>
          <w:lang w:val="ru-RU"/>
        </w:rPr>
        <w:t>”</w:t>
      </w:r>
      <w:r w:rsidR="0004044E">
        <w:t xml:space="preserve"> замінити словами</w:t>
      </w:r>
      <w:r w:rsidRPr="00571F58">
        <w:rPr>
          <w:lang w:val="ru-RU"/>
        </w:rPr>
        <w:t xml:space="preserve"> “</w:t>
      </w:r>
      <w:r w:rsidR="0004044E">
        <w:t>паперовій формі</w:t>
      </w:r>
      <w:r w:rsidRPr="00571F58">
        <w:rPr>
          <w:lang w:val="ru-RU"/>
        </w:rPr>
        <w:t>”</w:t>
      </w:r>
      <w:r w:rsidR="0004044E">
        <w:t>;</w:t>
      </w:r>
    </w:p>
    <w:p w14:paraId="381F3615" w14:textId="77777777" w:rsidR="007E293D" w:rsidRPr="0004044E" w:rsidRDefault="007E293D" w:rsidP="00411597">
      <w:pPr>
        <w:ind w:firstLine="709"/>
      </w:pPr>
    </w:p>
    <w:p w14:paraId="38DB7BF0" w14:textId="77777777" w:rsidR="00104655" w:rsidRPr="00D51D32" w:rsidRDefault="001000B8" w:rsidP="001000B8">
      <w:pPr>
        <w:ind w:firstLine="709"/>
      </w:pPr>
      <w:r w:rsidRPr="00571F58">
        <w:rPr>
          <w:lang w:val="ru-RU"/>
        </w:rPr>
        <w:t xml:space="preserve">5) </w:t>
      </w:r>
      <w:r w:rsidR="00104655" w:rsidRPr="00D51D32">
        <w:t>у главі 5:</w:t>
      </w:r>
    </w:p>
    <w:p w14:paraId="572E82F3" w14:textId="5D6748FB" w:rsidR="00104655" w:rsidRPr="00D51D32" w:rsidRDefault="00104655" w:rsidP="00D51D32">
      <w:pPr>
        <w:ind w:firstLine="709"/>
      </w:pPr>
      <w:r w:rsidRPr="00D51D32">
        <w:t>пункт 43</w:t>
      </w:r>
      <w:r w:rsidRPr="00D51D32">
        <w:rPr>
          <w:vertAlign w:val="superscript"/>
        </w:rPr>
        <w:t>1</w:t>
      </w:r>
      <w:r w:rsidRPr="00D51D32">
        <w:t xml:space="preserve"> </w:t>
      </w:r>
      <w:r w:rsidR="00E94065" w:rsidRPr="00D51D32">
        <w:t xml:space="preserve">доповнити </w:t>
      </w:r>
      <w:r w:rsidRPr="00D51D32">
        <w:t>двома новими абзацами такого змісту:</w:t>
      </w:r>
    </w:p>
    <w:p w14:paraId="2E62792C" w14:textId="77777777" w:rsidR="00104655" w:rsidRPr="00D51D32" w:rsidRDefault="00104655" w:rsidP="00D51D32">
      <w:pPr>
        <w:ind w:firstLine="709"/>
      </w:pPr>
      <w:r w:rsidRPr="00D51D32">
        <w:t xml:space="preserve">“Національний банк в порядку та з періодичністю, визначеними його розпорядчим актом, проводить аналіз обсягу та характеру операцій на рахунках у цінних паперах, що відкриті у межах рахунків у цінних паперах депозитарних установ для обліку цінних паперів, прав на цінні папери, які належать клієнтам/клієнтам клієнтів номінальних утримувачів, та їх впливу на діяльність таких депозитарних установ, уключаючи визначення відношення обсягу таких операцій до загального обсягу операцій, що обслуговуються депозитарною установою, рівня залежності депозитарної установи від операцій на рахунку в цінних паперах номінального утримувача. </w:t>
      </w:r>
    </w:p>
    <w:p w14:paraId="12CF5F1C" w14:textId="77777777" w:rsidR="00104655" w:rsidRPr="00D51D32" w:rsidRDefault="00104655" w:rsidP="00D51D32">
      <w:pPr>
        <w:ind w:firstLine="709"/>
      </w:pPr>
      <w:r w:rsidRPr="00D51D32">
        <w:t>Національний банк, якщо за результатами проведеного аналізу є обґрунтовані підстави вважати, що операції на таких рахунках несуть ризики для діяльності депозитарію Національного банку та/або депозитарної установи, в межах рахунку в цінних паперах якої відкрито рахунок у цінних паперах номінального утримувача в системі депозитарного обліку депозитарію Національного банку, передає інформацію про виявлені ризики Національній комісії з цінних паперів та фондового ринку для розгляду та вжиття необхідних заходів.”;</w:t>
      </w:r>
    </w:p>
    <w:p w14:paraId="38806BA5" w14:textId="77777777" w:rsidR="00104655" w:rsidRPr="00D51D32" w:rsidRDefault="009964B9" w:rsidP="00D51D32">
      <w:pPr>
        <w:ind w:firstLine="709"/>
      </w:pPr>
      <w:r w:rsidRPr="00D51D32">
        <w:t>у пункті 43</w:t>
      </w:r>
      <w:r w:rsidRPr="00D51D32">
        <w:rPr>
          <w:vertAlign w:val="superscript"/>
        </w:rPr>
        <w:t>2</w:t>
      </w:r>
      <w:r w:rsidRPr="00D51D32">
        <w:t>:</w:t>
      </w:r>
    </w:p>
    <w:p w14:paraId="31AE74CE" w14:textId="5E67B1C1" w:rsidR="00411597" w:rsidRPr="00D51D32" w:rsidRDefault="00542313" w:rsidP="00D51D32">
      <w:pPr>
        <w:ind w:firstLine="709"/>
      </w:pPr>
      <w:r w:rsidRPr="00D51D32">
        <w:t>абзац перший після слів</w:t>
      </w:r>
      <w:r w:rsidR="00E94065">
        <w:t xml:space="preserve"> </w:t>
      </w:r>
      <w:r w:rsidR="00E94065" w:rsidRPr="00035A12">
        <w:t>«</w:t>
      </w:r>
      <w:r w:rsidRPr="00D51D32">
        <w:t>проти поставки цінних паперів”</w:t>
      </w:r>
      <w:r w:rsidR="00E94065" w:rsidRPr="00D51D32">
        <w:t>»</w:t>
      </w:r>
      <w:r w:rsidRPr="00D51D32">
        <w:t xml:space="preserve"> доповнити словами «, “поставка цінних паперів проти поставки цінних паперів”»;</w:t>
      </w:r>
    </w:p>
    <w:p w14:paraId="0CC3D0D7" w14:textId="4B1B1A85" w:rsidR="00542313" w:rsidRPr="00D51D32" w:rsidRDefault="00E94065" w:rsidP="00D51D32">
      <w:pPr>
        <w:ind w:firstLine="709"/>
      </w:pPr>
      <w:r>
        <w:t xml:space="preserve">пункт </w:t>
      </w:r>
      <w:r w:rsidR="00542313" w:rsidRPr="00D51D32">
        <w:t xml:space="preserve">після абзацу першого доповнити  двома новими </w:t>
      </w:r>
      <w:r w:rsidR="00B355AA" w:rsidRPr="00D51D32">
        <w:t xml:space="preserve">абзацами </w:t>
      </w:r>
      <w:r w:rsidR="0006242A">
        <w:t xml:space="preserve">другим та третім </w:t>
      </w:r>
      <w:r w:rsidR="00B355AA" w:rsidRPr="00D51D32">
        <w:t>такого змісту:</w:t>
      </w:r>
    </w:p>
    <w:p w14:paraId="4F2F7EF4" w14:textId="77777777" w:rsidR="00B355AA" w:rsidRPr="00D51D32" w:rsidRDefault="00B355AA" w:rsidP="00D51D32">
      <w:pPr>
        <w:ind w:firstLine="709"/>
      </w:pPr>
      <w:r w:rsidRPr="00D51D32">
        <w:t>“Здійснення грошових розрахунків за правочинами щодо ЦП за умови проведення розрахунків за принципами “оплата проти поставки цінних паперів” та “поставка цінних паперів проти поставки цінних паперів”, забезпечується депозитарієм Національного банку.</w:t>
      </w:r>
    </w:p>
    <w:p w14:paraId="6C262EFB" w14:textId="77777777" w:rsidR="00B355AA" w:rsidRPr="00D51D32" w:rsidRDefault="00B355AA" w:rsidP="00D51D32">
      <w:pPr>
        <w:ind w:firstLine="709"/>
      </w:pPr>
      <w:r w:rsidRPr="00D51D32">
        <w:t>Здійснення грошових розрахунків за правочинами щодо ЦП за умови проведення розрахунків за принципами “поставка цінних паперів без оплати” забезпечується сторонами правочину щодо ЦП в порядку, передбаченому відповідним правочином.”.</w:t>
      </w:r>
    </w:p>
    <w:p w14:paraId="0FE532F2" w14:textId="69D53F40" w:rsidR="00B355AA" w:rsidRPr="00D51D32" w:rsidRDefault="00B355AA" w:rsidP="00D51D32">
      <w:pPr>
        <w:ind w:firstLine="709"/>
      </w:pPr>
      <w:r w:rsidRPr="00D51D32">
        <w:t xml:space="preserve">У зв’язку з цим абзаци другий-п’ятий </w:t>
      </w:r>
      <w:r w:rsidR="00E94065">
        <w:t>у</w:t>
      </w:r>
      <w:r w:rsidRPr="00D51D32">
        <w:t>важати відповідно абзацами четвертим-сьомим;</w:t>
      </w:r>
    </w:p>
    <w:p w14:paraId="66E026C8" w14:textId="77777777" w:rsidR="002F57F4" w:rsidRDefault="00BA621C" w:rsidP="00D51D32">
      <w:pPr>
        <w:ind w:firstLine="709"/>
      </w:pPr>
      <w:r w:rsidRPr="00D51D32">
        <w:t>абзац сьомий після слова “банку” доповнити словами “</w:t>
      </w:r>
      <w:r w:rsidR="002142DA" w:rsidRPr="00D51D32">
        <w:t>або у паперов</w:t>
      </w:r>
      <w:r w:rsidR="000E1129">
        <w:t>ій</w:t>
      </w:r>
      <w:r w:rsidR="002142DA" w:rsidRPr="00D51D32">
        <w:t xml:space="preserve"> </w:t>
      </w:r>
      <w:r w:rsidR="000E1129">
        <w:t>формі</w:t>
      </w:r>
      <w:r w:rsidR="002142DA" w:rsidRPr="00D51D32">
        <w:t xml:space="preserve"> у випадках, передбачених цим Положенням,</w:t>
      </w:r>
      <w:r w:rsidRPr="00D51D32">
        <w:t>”;</w:t>
      </w:r>
    </w:p>
    <w:p w14:paraId="403CC1B0" w14:textId="77777777" w:rsidR="00026271" w:rsidRPr="00026271" w:rsidRDefault="00026271" w:rsidP="00D51D32">
      <w:pPr>
        <w:ind w:firstLine="709"/>
      </w:pPr>
      <w:r>
        <w:t xml:space="preserve">в абзаці третьому пункту 44 слова </w:t>
      </w:r>
      <w:r w:rsidRPr="00571F58">
        <w:rPr>
          <w:lang w:val="ru-RU"/>
        </w:rPr>
        <w:t>“</w:t>
      </w:r>
      <w:r>
        <w:t>паперовому вигляді</w:t>
      </w:r>
      <w:r w:rsidRPr="00571F58">
        <w:rPr>
          <w:lang w:val="ru-RU"/>
        </w:rPr>
        <w:t>”</w:t>
      </w:r>
      <w:r>
        <w:t xml:space="preserve"> замінити словами</w:t>
      </w:r>
      <w:r w:rsidRPr="00571F58">
        <w:rPr>
          <w:lang w:val="ru-RU"/>
        </w:rPr>
        <w:t xml:space="preserve"> “</w:t>
      </w:r>
      <w:r>
        <w:t>паперовій формі</w:t>
      </w:r>
      <w:r w:rsidRPr="00571F58">
        <w:rPr>
          <w:lang w:val="ru-RU"/>
        </w:rPr>
        <w:t>”</w:t>
      </w:r>
      <w:r>
        <w:t>;</w:t>
      </w:r>
    </w:p>
    <w:p w14:paraId="667B5FE7" w14:textId="7469909F" w:rsidR="00EA4B16" w:rsidRPr="00DA66E4" w:rsidRDefault="00011FD2">
      <w:pPr>
        <w:ind w:firstLine="709"/>
      </w:pPr>
      <w:r w:rsidRPr="00D51D32">
        <w:t>друг</w:t>
      </w:r>
      <w:r>
        <w:t>е</w:t>
      </w:r>
      <w:r w:rsidRPr="00D51D32">
        <w:t xml:space="preserve"> реченн</w:t>
      </w:r>
      <w:r>
        <w:t>я</w:t>
      </w:r>
      <w:r w:rsidRPr="00D51D32">
        <w:t xml:space="preserve"> </w:t>
      </w:r>
      <w:r w:rsidR="00EC0E6D" w:rsidRPr="00D51D32">
        <w:t>абзацу першого пункту 46</w:t>
      </w:r>
      <w:r>
        <w:t xml:space="preserve"> викласти у такій редакції</w:t>
      </w:r>
      <w:r w:rsidR="00EA4B16">
        <w:t>:</w:t>
      </w:r>
      <w:r w:rsidR="00A860DB">
        <w:t xml:space="preserve"> </w:t>
      </w:r>
      <w:r w:rsidR="00A860DB">
        <w:tab/>
      </w:r>
      <w:r w:rsidR="00EC0E6D" w:rsidRPr="00D51D32">
        <w:t>“</w:t>
      </w:r>
      <w:r w:rsidRPr="00011FD2">
        <w:t>Депозитарій Національного банку фіксує початок виконання розпорядження шляхом унесення інформації про розпорядження до відомості затверджених розпоряджень та зміни статусу такого розпорядження в системі автоматизації депозитарію Національного банку або шляхом зміни статусу обробки такого розпорядження в системі електронного документообігу АСКОД, та/або шляхом проставлення відповідної відмітки на паперовому примірнику розпорядження (у разі надання розпорядження в паперовій формі у випадках, передбачених цим Положенням).</w:t>
      </w:r>
      <w:r w:rsidR="00EC0E6D" w:rsidRPr="00D51D32">
        <w:t>”;</w:t>
      </w:r>
    </w:p>
    <w:p w14:paraId="261B1FD9" w14:textId="72405F61" w:rsidR="00E55BF9" w:rsidRPr="00D51D32" w:rsidRDefault="00513E1F" w:rsidP="00D51D32">
      <w:pPr>
        <w:ind w:firstLine="709"/>
      </w:pPr>
      <w:r>
        <w:t xml:space="preserve">в </w:t>
      </w:r>
      <w:r w:rsidR="00E55BF9" w:rsidRPr="00D51D32">
        <w:t>абзац</w:t>
      </w:r>
      <w:r>
        <w:t>і</w:t>
      </w:r>
      <w:r w:rsidR="00E55BF9" w:rsidRPr="00D51D32">
        <w:t xml:space="preserve"> </w:t>
      </w:r>
      <w:r w:rsidR="0006242A" w:rsidRPr="00D51D32">
        <w:t>четверт</w:t>
      </w:r>
      <w:r>
        <w:t>ому</w:t>
      </w:r>
      <w:r w:rsidR="0006242A" w:rsidRPr="00D51D32">
        <w:t xml:space="preserve"> </w:t>
      </w:r>
      <w:r w:rsidR="00E55BF9" w:rsidRPr="00D51D32">
        <w:t xml:space="preserve">пункту 47 слова </w:t>
      </w:r>
      <w:r w:rsidR="0006242A" w:rsidRPr="00D51D32">
        <w:t>«</w:t>
      </w:r>
      <w:r w:rsidR="009F110D">
        <w:t xml:space="preserve">принципом </w:t>
      </w:r>
      <w:r w:rsidR="009F110D" w:rsidRPr="009F110D">
        <w:t>“оплата проти поставки цінних паперів”</w:t>
      </w:r>
      <w:r w:rsidR="0006242A" w:rsidRPr="00D51D32">
        <w:t>»</w:t>
      </w:r>
      <w:r w:rsidR="00E55BF9" w:rsidRPr="00D51D32">
        <w:t xml:space="preserve"> </w:t>
      </w:r>
      <w:r w:rsidR="009F110D">
        <w:t>замінити</w:t>
      </w:r>
      <w:r w:rsidR="009F110D" w:rsidRPr="00D51D32">
        <w:t xml:space="preserve"> </w:t>
      </w:r>
      <w:r w:rsidR="00E55BF9" w:rsidRPr="00D51D32">
        <w:t>словами «</w:t>
      </w:r>
      <w:r w:rsidR="009F110D">
        <w:t xml:space="preserve">принципами </w:t>
      </w:r>
      <w:r w:rsidR="009F110D" w:rsidRPr="002A4341">
        <w:rPr>
          <w:color w:val="000000"/>
        </w:rPr>
        <w:t>“оплата проти поставки цінних паперів”</w:t>
      </w:r>
      <w:r w:rsidR="00E55BF9" w:rsidRPr="00D51D32">
        <w:t>, “поставка цінних паперів проти поставки цінних паперів”»;</w:t>
      </w:r>
    </w:p>
    <w:p w14:paraId="79A19621" w14:textId="77777777" w:rsidR="00E55BF9" w:rsidRPr="00D51D32" w:rsidRDefault="005551F8" w:rsidP="00D51D32">
      <w:pPr>
        <w:ind w:firstLine="709"/>
      </w:pPr>
      <w:r w:rsidRPr="00D51D32">
        <w:t>у пункті 49:</w:t>
      </w:r>
    </w:p>
    <w:p w14:paraId="47096913" w14:textId="2A980134" w:rsidR="005551F8" w:rsidRPr="00D51D32" w:rsidRDefault="005551F8" w:rsidP="00D51D32">
      <w:pPr>
        <w:ind w:firstLine="709"/>
      </w:pPr>
      <w:r w:rsidRPr="00D51D32">
        <w:t xml:space="preserve">в абзаці третьому </w:t>
      </w:r>
      <w:r w:rsidR="00D076B7" w:rsidRPr="00D51D32">
        <w:t xml:space="preserve">слова </w:t>
      </w:r>
      <w:r w:rsidR="00311D83" w:rsidRPr="00D51D32">
        <w:t>“щодо цінних паперів” замінити слов</w:t>
      </w:r>
      <w:r w:rsidR="008C0CF6">
        <w:t>ом</w:t>
      </w:r>
      <w:r w:rsidR="00311D83" w:rsidRPr="00D51D32">
        <w:t xml:space="preserve"> та літерами “щодо ЦП”;</w:t>
      </w:r>
    </w:p>
    <w:p w14:paraId="4F10C5C2" w14:textId="2472F033" w:rsidR="00311D83" w:rsidRPr="00D51D32" w:rsidRDefault="008C0CF6" w:rsidP="00D51D32">
      <w:pPr>
        <w:ind w:firstLine="709"/>
      </w:pPr>
      <w:r>
        <w:t xml:space="preserve">пункт </w:t>
      </w:r>
      <w:r w:rsidR="00311D83" w:rsidRPr="00D51D32">
        <w:t>після абзацу третього доповнити новим абзацом</w:t>
      </w:r>
      <w:r>
        <w:t xml:space="preserve"> четвертим</w:t>
      </w:r>
      <w:r w:rsidR="00311D83" w:rsidRPr="00D51D32">
        <w:t xml:space="preserve"> такого змісту:</w:t>
      </w:r>
    </w:p>
    <w:p w14:paraId="517F84BC" w14:textId="13260CCF" w:rsidR="00311D83" w:rsidRPr="00B12256" w:rsidRDefault="00311D83" w:rsidP="00B12256">
      <w:pPr>
        <w:ind w:firstLine="709"/>
      </w:pPr>
      <w:r w:rsidRPr="00B12256">
        <w:t>“</w:t>
      </w:r>
      <w:r w:rsidR="002E5CA5" w:rsidRPr="002E5CA5">
        <w:t xml:space="preserve">Депозитарій Національного банку, якщо розрахунки за правочинами щодо ЦП ОВДП відбуваються за принципом “поставка цінних паперів проти поставки цінних паперів”, під час завершення операційного дня дати погашення ОВДП в обігу або дня, визначеного </w:t>
      </w:r>
      <w:r w:rsidR="006D7697">
        <w:t xml:space="preserve">в </w:t>
      </w:r>
      <w:r w:rsidR="006D7697" w:rsidRPr="006D7697">
        <w:t>Положенні про порядок проведення операцій, пов'язаних з розміщенням облігацій внутрішніх державних позик, затвердженому постановою Правління Національного банку України від 18</w:t>
      </w:r>
      <w:r w:rsidR="006D7697">
        <w:t xml:space="preserve"> червня </w:t>
      </w:r>
      <w:r w:rsidR="006D7697" w:rsidRPr="006D7697">
        <w:t>2003</w:t>
      </w:r>
      <w:r w:rsidR="006D7697">
        <w:t xml:space="preserve"> року</w:t>
      </w:r>
      <w:r w:rsidR="006D7697" w:rsidRPr="006D7697">
        <w:t xml:space="preserve"> № 248, зареєстрованому в Міністерстві юстиції України 07</w:t>
      </w:r>
      <w:r w:rsidR="006D7697">
        <w:t xml:space="preserve"> липня </w:t>
      </w:r>
      <w:r w:rsidR="006D7697" w:rsidRPr="006D7697">
        <w:t xml:space="preserve">2003 </w:t>
      </w:r>
      <w:r w:rsidR="006D7697">
        <w:t xml:space="preserve">року </w:t>
      </w:r>
      <w:r w:rsidR="006D7697" w:rsidRPr="006D7697">
        <w:t>за № 551/7872 (зі змінами)</w:t>
      </w:r>
      <w:r w:rsidR="006D7697">
        <w:t xml:space="preserve"> (далі – Положення № 248)</w:t>
      </w:r>
      <w:r w:rsidR="002E5CA5" w:rsidRPr="002E5CA5">
        <w:t xml:space="preserve">, виконує відміну </w:t>
      </w:r>
      <w:proofErr w:type="spellStart"/>
      <w:r w:rsidR="002E5CA5" w:rsidRPr="002E5CA5">
        <w:t>сквитованих</w:t>
      </w:r>
      <w:proofErr w:type="spellEnd"/>
      <w:r w:rsidR="002E5CA5" w:rsidRPr="002E5CA5">
        <w:t xml:space="preserve"> розпоряджень, якщо первинним дилером не забезпечена наявність на рахунку в цінних паперах необхідної кількості ОВДП в обігу або такі ОВДП були погашені та/або оплата різниці вартостей ОВДП, що розміщуються під час аукціону з обміну ОВДП, та ОВДП в обігу (далі – різниця вартостей ОВДП) на підставі запиту на ініціювання платіжної інструкції до дати, визначеної </w:t>
      </w:r>
      <w:r w:rsidR="00642F3F">
        <w:t>в Положенні № 248</w:t>
      </w:r>
      <w:r w:rsidR="002E5CA5" w:rsidRPr="002E5CA5">
        <w:t xml:space="preserve">, та на підставі відповідного розпорядження емітента забезпечує повернення ОВДП, що розміщуються під час аукціону з обміну ОВДП, на його рахунок у цінних паперах. Депозитарій Національного банку одночасно з відміною </w:t>
      </w:r>
      <w:proofErr w:type="spellStart"/>
      <w:r w:rsidR="002E5CA5" w:rsidRPr="002E5CA5">
        <w:t>сквитованих</w:t>
      </w:r>
      <w:proofErr w:type="spellEnd"/>
      <w:r w:rsidR="002E5CA5" w:rsidRPr="002E5CA5">
        <w:t xml:space="preserve"> розпоряджень в порядку виконання безумовної операції розблоковує ОВДП в обігу, що були заблоковані для забезпечення розрахунків (за необхідності).</w:t>
      </w:r>
      <w:r w:rsidRPr="00B12256">
        <w:t>”.</w:t>
      </w:r>
    </w:p>
    <w:p w14:paraId="2413F14C" w14:textId="284B0506" w:rsidR="00311D83" w:rsidRPr="00B12256" w:rsidRDefault="00311D83" w:rsidP="00B12256">
      <w:pPr>
        <w:ind w:firstLine="709"/>
      </w:pPr>
      <w:r w:rsidRPr="00B12256">
        <w:t xml:space="preserve">У зв’язку з цим абзаци </w:t>
      </w:r>
      <w:r w:rsidR="006300B1">
        <w:t>четвертий</w:t>
      </w:r>
      <w:r w:rsidRPr="00B12256">
        <w:t>-</w:t>
      </w:r>
      <w:r w:rsidR="006300B1">
        <w:t>сьомий</w:t>
      </w:r>
      <w:r w:rsidR="006300B1" w:rsidRPr="00B12256">
        <w:t xml:space="preserve"> </w:t>
      </w:r>
      <w:r w:rsidRPr="00B12256">
        <w:t xml:space="preserve">вважати відповідно абзацами </w:t>
      </w:r>
      <w:r w:rsidR="00234AA5">
        <w:t>п’ятим</w:t>
      </w:r>
      <w:r w:rsidRPr="00B12256">
        <w:t>-</w:t>
      </w:r>
      <w:r w:rsidR="00234AA5">
        <w:t>восьмим</w:t>
      </w:r>
      <w:r w:rsidRPr="00B12256">
        <w:t>;</w:t>
      </w:r>
    </w:p>
    <w:p w14:paraId="2C1CB1A6" w14:textId="3F8CD88E" w:rsidR="00311D83" w:rsidRPr="00B12256" w:rsidRDefault="00311D83" w:rsidP="00B12256">
      <w:pPr>
        <w:ind w:firstLine="709"/>
      </w:pPr>
      <w:r w:rsidRPr="00B12256">
        <w:t xml:space="preserve">абзац </w:t>
      </w:r>
      <w:r w:rsidR="0078220B">
        <w:t>п’ятий викласти в такій редакції</w:t>
      </w:r>
      <w:r w:rsidRPr="00B12256">
        <w:t>:</w:t>
      </w:r>
    </w:p>
    <w:p w14:paraId="2E0454BB" w14:textId="221A3DC6" w:rsidR="00311D83" w:rsidRPr="00B12256" w:rsidRDefault="00311D83">
      <w:pPr>
        <w:ind w:firstLine="709"/>
      </w:pPr>
      <w:r w:rsidRPr="00B12256">
        <w:t>“</w:t>
      </w:r>
      <w:r w:rsidR="0078220B" w:rsidRPr="0078220B">
        <w:t>За правочинами щодо ОВДП, якщо розрахунки здійснюються з дотриманням принци</w:t>
      </w:r>
      <w:r w:rsidR="005A71F0">
        <w:t>пів</w:t>
      </w:r>
      <w:r w:rsidR="0078220B" w:rsidRPr="0078220B">
        <w:t xml:space="preserve"> “оплата проти поставки цінних паперів”, “поставка цінних паперів проти поставки цінних паперів”, ОВДП зараховуються на рахунок депонента/номінального утримувача як такі, що обмежені в обігу, до моменту завершення розрахунків за відповідним правочином.</w:t>
      </w:r>
      <w:r w:rsidRPr="00B12256">
        <w:t>”;</w:t>
      </w:r>
    </w:p>
    <w:p w14:paraId="77336485" w14:textId="6C68ED83" w:rsidR="00F27C4D" w:rsidRPr="00B12256" w:rsidRDefault="00F27C4D" w:rsidP="00B12256">
      <w:pPr>
        <w:ind w:firstLine="709"/>
      </w:pPr>
      <w:r w:rsidRPr="00B12256">
        <w:t xml:space="preserve">абзац </w:t>
      </w:r>
      <w:r w:rsidR="0078220B">
        <w:t>восьмий</w:t>
      </w:r>
      <w:r w:rsidR="0078220B" w:rsidRPr="00B12256">
        <w:t xml:space="preserve"> </w:t>
      </w:r>
      <w:r w:rsidRPr="00B12256">
        <w:t>після літер “ОВДП” доповнити словами та літерами “</w:t>
      </w:r>
      <w:r w:rsidR="00547AEF" w:rsidRPr="00B12256">
        <w:t>(включаючи розміщення ОВДП під час проведення аукціону з обміну ОВДП)</w:t>
      </w:r>
      <w:r w:rsidRPr="00B12256">
        <w:t>”;</w:t>
      </w:r>
    </w:p>
    <w:p w14:paraId="09A43350" w14:textId="77777777" w:rsidR="00CE5007" w:rsidRPr="00B12256" w:rsidRDefault="00CE5007" w:rsidP="00B12256">
      <w:pPr>
        <w:ind w:firstLine="709"/>
      </w:pPr>
      <w:r w:rsidRPr="00B12256">
        <w:t>у пункті 53:</w:t>
      </w:r>
    </w:p>
    <w:p w14:paraId="7B51343D" w14:textId="32B1D8AD" w:rsidR="00CE5007" w:rsidRPr="00B12256" w:rsidRDefault="00CE5007" w:rsidP="00B12256">
      <w:pPr>
        <w:ind w:firstLine="709"/>
      </w:pPr>
      <w:r w:rsidRPr="00B12256">
        <w:t>підпункт 1</w:t>
      </w:r>
      <w:r w:rsidRPr="00B12256">
        <w:rPr>
          <w:vertAlign w:val="superscript"/>
        </w:rPr>
        <w:t>1</w:t>
      </w:r>
      <w:r w:rsidRPr="00B12256">
        <w:t xml:space="preserve"> після слів </w:t>
      </w:r>
      <w:r w:rsidR="00DA54DE" w:rsidRPr="00D51D32">
        <w:t>«</w:t>
      </w:r>
      <w:r w:rsidRPr="00B12256">
        <w:t>поставки цінних паперів”</w:t>
      </w:r>
      <w:r w:rsidR="00DA54DE" w:rsidRPr="00B12256">
        <w:t>»</w:t>
      </w:r>
      <w:r w:rsidRPr="00B12256">
        <w:t xml:space="preserve"> доповнити словами «</w:t>
      </w:r>
      <w:r w:rsidR="007B2723" w:rsidRPr="00B12256">
        <w:t>, “поставка цінних паперів проти поставки цінних паперів”</w:t>
      </w:r>
      <w:r w:rsidRPr="00B12256">
        <w:t>»</w:t>
      </w:r>
      <w:r w:rsidR="007B2723" w:rsidRPr="00B12256">
        <w:t>;</w:t>
      </w:r>
    </w:p>
    <w:p w14:paraId="754E007E" w14:textId="6BD22223" w:rsidR="007B2723" w:rsidRPr="00B12256" w:rsidRDefault="00DA54DE" w:rsidP="00B12256">
      <w:pPr>
        <w:ind w:firstLine="709"/>
      </w:pPr>
      <w:r w:rsidRPr="00B12256">
        <w:t xml:space="preserve">пункт </w:t>
      </w:r>
      <w:r>
        <w:t xml:space="preserve">після підпункту 6 </w:t>
      </w:r>
      <w:r w:rsidR="007B2723" w:rsidRPr="00B12256">
        <w:t xml:space="preserve">доповнити новим підпунктом </w:t>
      </w:r>
      <w:r>
        <w:t xml:space="preserve">7 </w:t>
      </w:r>
      <w:r w:rsidR="007B2723" w:rsidRPr="00B12256">
        <w:t>такого змісту:</w:t>
      </w:r>
    </w:p>
    <w:p w14:paraId="4C75D730" w14:textId="77777777" w:rsidR="007B2723" w:rsidRPr="00B12256" w:rsidRDefault="007B2723" w:rsidP="00B12256">
      <w:pPr>
        <w:ind w:firstLine="709"/>
      </w:pPr>
      <w:r w:rsidRPr="00B12256">
        <w:t>“7) за операціями з розміщення ОВДП під час аукціону з обміну ОВДП депозитарій Національного банку приймає розпорядження на безумовні депозитарні операції переказу ОВДП, що заблоковані для оплати, передбачені пунктом 160</w:t>
      </w:r>
      <w:r w:rsidRPr="00B12256">
        <w:rPr>
          <w:vertAlign w:val="superscript"/>
        </w:rPr>
        <w:t>1</w:t>
      </w:r>
      <w:r w:rsidRPr="00B12256">
        <w:t xml:space="preserve"> глави 19 розділу ІІІ цього Положення, до кінця операційного дня, що передує даті платежу.”;</w:t>
      </w:r>
    </w:p>
    <w:p w14:paraId="5FCD1830" w14:textId="77777777" w:rsidR="006A71B4" w:rsidRDefault="006A71B4" w:rsidP="00B12256">
      <w:pPr>
        <w:ind w:firstLine="709"/>
      </w:pPr>
      <w:r w:rsidRPr="00B12256">
        <w:t xml:space="preserve"> в абзаці другому пункту 54 цифри “18.00” замінити цифрами “17.30”</w:t>
      </w:r>
      <w:r w:rsidR="007E26FC">
        <w:t>.</w:t>
      </w:r>
    </w:p>
    <w:p w14:paraId="5A25DBC7" w14:textId="77777777" w:rsidR="007E26FC" w:rsidRDefault="007E26FC" w:rsidP="00B12256">
      <w:pPr>
        <w:ind w:firstLine="709"/>
      </w:pPr>
    </w:p>
    <w:p w14:paraId="796D422C" w14:textId="77777777" w:rsidR="007E26FC" w:rsidRDefault="007E26FC" w:rsidP="007E26FC">
      <w:pPr>
        <w:pStyle w:val="af3"/>
        <w:numPr>
          <w:ilvl w:val="0"/>
          <w:numId w:val="1"/>
        </w:numPr>
      </w:pPr>
      <w:r>
        <w:t>У розділі ІІ:</w:t>
      </w:r>
    </w:p>
    <w:p w14:paraId="6F908CDD" w14:textId="77777777" w:rsidR="007E26FC" w:rsidRPr="00B12256" w:rsidRDefault="007E26FC" w:rsidP="007E26FC">
      <w:pPr>
        <w:pStyle w:val="af3"/>
        <w:ind w:left="1069"/>
      </w:pPr>
    </w:p>
    <w:p w14:paraId="1778F64B" w14:textId="77777777" w:rsidR="00244669" w:rsidRPr="00B12256" w:rsidRDefault="00244669" w:rsidP="001F177F">
      <w:pPr>
        <w:pStyle w:val="af3"/>
        <w:numPr>
          <w:ilvl w:val="0"/>
          <w:numId w:val="4"/>
        </w:numPr>
      </w:pPr>
      <w:r w:rsidRPr="00B12256">
        <w:t>у главі 8:</w:t>
      </w:r>
    </w:p>
    <w:p w14:paraId="168D6667" w14:textId="77777777" w:rsidR="00810228" w:rsidRPr="00B12256" w:rsidRDefault="00810228" w:rsidP="00B12256">
      <w:pPr>
        <w:ind w:firstLine="709"/>
      </w:pPr>
      <w:r w:rsidRPr="00B12256">
        <w:t>у пункті 80</w:t>
      </w:r>
      <w:r w:rsidRPr="00B12256">
        <w:rPr>
          <w:vertAlign w:val="superscript"/>
        </w:rPr>
        <w:t>1</w:t>
      </w:r>
      <w:r w:rsidRPr="00B12256">
        <w:t>:</w:t>
      </w:r>
    </w:p>
    <w:p w14:paraId="2759F5FC" w14:textId="777488E1" w:rsidR="00393F96" w:rsidRDefault="00DA11BC" w:rsidP="00B12256">
      <w:pPr>
        <w:ind w:firstLine="709"/>
      </w:pPr>
      <w:r w:rsidRPr="00B12256">
        <w:t xml:space="preserve">абзац перший </w:t>
      </w:r>
      <w:r w:rsidR="00393F96">
        <w:t>викласти в такій редакції:</w:t>
      </w:r>
    </w:p>
    <w:p w14:paraId="499E3803" w14:textId="33C5543C" w:rsidR="00DA11BC" w:rsidRPr="00B12256" w:rsidRDefault="00DA11BC" w:rsidP="00B12256">
      <w:pPr>
        <w:ind w:firstLine="709"/>
      </w:pPr>
      <w:r w:rsidRPr="00B12256">
        <w:t>“</w:t>
      </w:r>
      <w:r w:rsidR="00393F96">
        <w:t>80</w:t>
      </w:r>
      <w:r w:rsidR="00393F96" w:rsidRPr="006F11C2">
        <w:rPr>
          <w:vertAlign w:val="superscript"/>
        </w:rPr>
        <w:t>1</w:t>
      </w:r>
      <w:r w:rsidR="00393F96" w:rsidRPr="00393F96">
        <w:t>. Депозитарій Національного банку для обслуговування розрахунків за результатами розміщення ОВДП, що здійснюється засобами ЕТС,  уключаючи розміщення під час проведення аукціону з обміну ОВДП, веде в системі депозитарного обліку реєстр первинних дилерів на підставі інформації щодо переліку первинних дилерів, яким надана можливість брати участь у розміщенні облігацій/аукціонах з обміну ОВДП засобами ЕТС, отриманої від емітента.</w:t>
      </w:r>
      <w:r w:rsidR="007A0756" w:rsidRPr="00B12256">
        <w:t>”;</w:t>
      </w:r>
    </w:p>
    <w:p w14:paraId="55D7A694" w14:textId="77777777" w:rsidR="007D7DB6" w:rsidRPr="00B12256" w:rsidRDefault="007D7DB6" w:rsidP="00B12256">
      <w:pPr>
        <w:ind w:firstLine="709"/>
      </w:pPr>
      <w:r w:rsidRPr="00B12256">
        <w:t>у абзаці другому:</w:t>
      </w:r>
    </w:p>
    <w:p w14:paraId="4D1E4D4A" w14:textId="77777777" w:rsidR="00F74EDA" w:rsidRPr="00B12256" w:rsidRDefault="00F74EDA" w:rsidP="00B12256">
      <w:pPr>
        <w:ind w:firstLine="709"/>
      </w:pPr>
      <w:r w:rsidRPr="00B12256">
        <w:t>перше речення доповнити словами та літерами “, коду МДО та найменування депозитарної установи, яка обслуговує рахунок у цінних паперах первинного дилера”;</w:t>
      </w:r>
    </w:p>
    <w:p w14:paraId="1E87DB57" w14:textId="79E0DCC2" w:rsidR="00F74EDA" w:rsidRPr="00B12256" w:rsidRDefault="00DA38E7" w:rsidP="00B12256">
      <w:pPr>
        <w:ind w:firstLine="709"/>
      </w:pPr>
      <w:r>
        <w:t xml:space="preserve">у другому реченні літери </w:t>
      </w:r>
      <w:r w:rsidRPr="006F11C2">
        <w:rPr>
          <w:lang w:val="ru-RU"/>
        </w:rPr>
        <w:t>“</w:t>
      </w:r>
      <w:r>
        <w:t>ОВДП</w:t>
      </w:r>
      <w:r w:rsidRPr="006F11C2">
        <w:rPr>
          <w:lang w:val="ru-RU"/>
        </w:rPr>
        <w:t>”</w:t>
      </w:r>
      <w:r>
        <w:t xml:space="preserve"> замінити </w:t>
      </w:r>
      <w:r w:rsidR="00D23BE3">
        <w:t xml:space="preserve">словом </w:t>
      </w:r>
      <w:r w:rsidR="00F74EDA" w:rsidRPr="00B12256">
        <w:t>“облігацій”;</w:t>
      </w:r>
    </w:p>
    <w:p w14:paraId="5CF648B5" w14:textId="428203C6" w:rsidR="00090CE3" w:rsidRPr="00B12256" w:rsidRDefault="00DA54DE" w:rsidP="00B12256">
      <w:pPr>
        <w:ind w:firstLine="709"/>
      </w:pPr>
      <w:r>
        <w:t xml:space="preserve">пункт </w:t>
      </w:r>
      <w:r w:rsidR="00090CE3" w:rsidRPr="00B12256">
        <w:t xml:space="preserve">після абзацу третього доповнити новим абзацом </w:t>
      </w:r>
      <w:r>
        <w:t xml:space="preserve">четвертим </w:t>
      </w:r>
      <w:r w:rsidR="00090CE3" w:rsidRPr="00B12256">
        <w:t>такого змісту:</w:t>
      </w:r>
    </w:p>
    <w:p w14:paraId="6F50391E" w14:textId="77777777" w:rsidR="00090CE3" w:rsidRPr="00B12256" w:rsidRDefault="00090CE3" w:rsidP="00B12256">
      <w:pPr>
        <w:ind w:firstLine="709"/>
      </w:pPr>
      <w:r w:rsidRPr="00B12256">
        <w:t>“ЕТС за результатами прийняття емітентом рішення про здійснення розміщення облігацій на аукціонах з обміну ОВДП надає через захищений канал даних депозитарію Національного банку інформацію щодо умов випуску та обсягів розміщення на аукціонах з обміну ОВДП, щодо задоволених та відхилених заявок учасників обміну облігацій, інформацію щодо ОВДП</w:t>
      </w:r>
      <w:r w:rsidR="00D23BE3">
        <w:t xml:space="preserve"> в</w:t>
      </w:r>
      <w:r w:rsidRPr="00B12256">
        <w:t xml:space="preserve"> обігу.”</w:t>
      </w:r>
      <w:r w:rsidR="006A351B" w:rsidRPr="00B12256">
        <w:t>.</w:t>
      </w:r>
    </w:p>
    <w:p w14:paraId="73AC2D48" w14:textId="10D7A22B" w:rsidR="006A351B" w:rsidRPr="00B12256" w:rsidRDefault="006A351B" w:rsidP="00B12256">
      <w:pPr>
        <w:ind w:firstLine="709"/>
      </w:pPr>
      <w:r w:rsidRPr="00B12256">
        <w:t xml:space="preserve">У зв’язку з цим абзаци четвертий, п’ятий </w:t>
      </w:r>
      <w:r w:rsidR="00DA54DE">
        <w:t>у</w:t>
      </w:r>
      <w:r w:rsidRPr="00B12256">
        <w:t xml:space="preserve">важати відповідно </w:t>
      </w:r>
      <w:r w:rsidR="00DA54DE">
        <w:t xml:space="preserve">абзацами </w:t>
      </w:r>
      <w:r w:rsidRPr="00B12256">
        <w:t>п’ятим, шостим;</w:t>
      </w:r>
    </w:p>
    <w:p w14:paraId="2F5206E3" w14:textId="77777777" w:rsidR="00F90F49" w:rsidRPr="00B12256" w:rsidRDefault="00F90F49" w:rsidP="00B12256">
      <w:pPr>
        <w:ind w:firstLine="709"/>
      </w:pPr>
      <w:r w:rsidRPr="00B12256">
        <w:t>абзац п’ятий після слова “розміщення” доповнити словами та літерами “, включаючи розміщення під час аукціону з обміну ОВДП”;</w:t>
      </w:r>
    </w:p>
    <w:p w14:paraId="78DF034F" w14:textId="77777777" w:rsidR="00F90F49" w:rsidRPr="00B12256" w:rsidRDefault="00F90F49" w:rsidP="00B12256">
      <w:pPr>
        <w:ind w:firstLine="709"/>
      </w:pPr>
      <w:r w:rsidRPr="00B12256">
        <w:t>в абзаці шостому літери “ОВДП” замінити словами та літерами “облігацій, включаючи розміщення під час аукціону з обміну ОВДП”;</w:t>
      </w:r>
    </w:p>
    <w:p w14:paraId="1E8EED87" w14:textId="77777777" w:rsidR="00BB0F4F" w:rsidRPr="00B12256" w:rsidRDefault="00BB0F4F" w:rsidP="00B12256">
      <w:pPr>
        <w:ind w:firstLine="709"/>
      </w:pPr>
      <w:r w:rsidRPr="00B12256">
        <w:t>у пункті 80</w:t>
      </w:r>
      <w:r w:rsidRPr="00B12256">
        <w:rPr>
          <w:vertAlign w:val="superscript"/>
        </w:rPr>
        <w:t>2</w:t>
      </w:r>
      <w:r w:rsidRPr="00B12256">
        <w:t>:</w:t>
      </w:r>
    </w:p>
    <w:p w14:paraId="6C3B2962" w14:textId="24680238" w:rsidR="006D45E3" w:rsidRPr="00B12256" w:rsidRDefault="006D45E3" w:rsidP="00B12256">
      <w:pPr>
        <w:ind w:firstLine="709"/>
      </w:pPr>
      <w:r w:rsidRPr="00B12256">
        <w:t xml:space="preserve">в абзаці першому </w:t>
      </w:r>
      <w:r w:rsidR="00046557">
        <w:t xml:space="preserve">слова та </w:t>
      </w:r>
      <w:r w:rsidRPr="00B12256">
        <w:t>літери “</w:t>
      </w:r>
      <w:r w:rsidR="00046557">
        <w:t xml:space="preserve">розміщення </w:t>
      </w:r>
      <w:r w:rsidRPr="00B12256">
        <w:t>ОВДП” замінити словами та літерами “</w:t>
      </w:r>
      <w:r w:rsidR="00046557">
        <w:t xml:space="preserve">розміщення </w:t>
      </w:r>
      <w:r w:rsidRPr="00B12256">
        <w:t>облігацій, включаючи розміщення під час аукціону з обміну ОВДП,”;</w:t>
      </w:r>
    </w:p>
    <w:p w14:paraId="34AF9089" w14:textId="3B74F9ED" w:rsidR="00DB227A" w:rsidRPr="00B12256" w:rsidRDefault="00DB227A" w:rsidP="00B12256">
      <w:pPr>
        <w:ind w:firstLine="709"/>
      </w:pPr>
      <w:r w:rsidRPr="00B12256">
        <w:t xml:space="preserve">підпункт </w:t>
      </w:r>
      <w:r w:rsidR="00FE647B">
        <w:t>2</w:t>
      </w:r>
      <w:r w:rsidRPr="00B12256">
        <w:t xml:space="preserve"> доповнити словами та літерами “, включаючи розміщення під час аукціону з обміну ОВДП”;</w:t>
      </w:r>
    </w:p>
    <w:p w14:paraId="4E489C07" w14:textId="11A4DCAE" w:rsidR="00F06517" w:rsidRPr="00B12256" w:rsidRDefault="00F06517" w:rsidP="00B12256">
      <w:pPr>
        <w:ind w:firstLine="709"/>
      </w:pPr>
      <w:r w:rsidRPr="00B12256">
        <w:t>підпункт 3 після сл</w:t>
      </w:r>
      <w:r w:rsidR="00FE647B">
        <w:t>ова</w:t>
      </w:r>
      <w:r w:rsidRPr="00B12256">
        <w:t xml:space="preserve"> та літер “розміщення ОВДП” доповнити словами та літерами “, включаючи розміщення під час аукціону з обміну ОВДП”;</w:t>
      </w:r>
    </w:p>
    <w:p w14:paraId="5296A497" w14:textId="77777777" w:rsidR="00F06517" w:rsidRPr="00B12256" w:rsidRDefault="00F06517" w:rsidP="00B12256">
      <w:pPr>
        <w:ind w:firstLine="709"/>
      </w:pPr>
      <w:r w:rsidRPr="00B12256">
        <w:t>у пункті 81:</w:t>
      </w:r>
    </w:p>
    <w:p w14:paraId="78350BD8" w14:textId="7CB2C20B" w:rsidR="00F06517" w:rsidRDefault="00962B39" w:rsidP="00B12256">
      <w:pPr>
        <w:ind w:firstLine="709"/>
      </w:pPr>
      <w:r w:rsidRPr="00B12256">
        <w:t>абзац перший</w:t>
      </w:r>
      <w:r w:rsidR="00750470" w:rsidRPr="00B12256">
        <w:t>, п</w:t>
      </w:r>
      <w:r w:rsidR="00DB53B5">
        <w:t>і</w:t>
      </w:r>
      <w:r w:rsidR="00750470" w:rsidRPr="00B12256">
        <w:t xml:space="preserve">дпункт </w:t>
      </w:r>
      <w:r w:rsidR="00FE647B">
        <w:t xml:space="preserve">1 </w:t>
      </w:r>
      <w:r w:rsidRPr="00B12256">
        <w:t>після слова “розміщуються” доповнити словами та літерами “, включаючи розміщення під час аукціону з обміну ОВДП”;</w:t>
      </w:r>
    </w:p>
    <w:p w14:paraId="26145941" w14:textId="0C73528E" w:rsidR="00DB53B5" w:rsidRDefault="00DB53B5" w:rsidP="00B12256">
      <w:pPr>
        <w:ind w:firstLine="709"/>
      </w:pPr>
      <w:r>
        <w:t xml:space="preserve">підпункт </w:t>
      </w:r>
      <w:r w:rsidR="00761C29">
        <w:t>2 викласти в такій редакції</w:t>
      </w:r>
      <w:r>
        <w:t>:</w:t>
      </w:r>
    </w:p>
    <w:p w14:paraId="1A13AD60" w14:textId="71EB2393" w:rsidR="00DB53B5" w:rsidRPr="00DB53B5" w:rsidRDefault="00DB53B5" w:rsidP="00761C29">
      <w:pPr>
        <w:ind w:firstLine="709"/>
      </w:pPr>
      <w:r w:rsidRPr="00B12256">
        <w:t>“</w:t>
      </w:r>
      <w:r w:rsidR="00761C29" w:rsidRPr="00761C29">
        <w:t xml:space="preserve">2) переказ ОВДП, що розміщуються, включаючи розміщення під час аукціону з обміну ОВДП, з рахунку емітента на власні рахунки в цінних паперах депозитарних установ та/або агреговані, та/або </w:t>
      </w:r>
      <w:proofErr w:type="spellStart"/>
      <w:r w:rsidR="00761C29" w:rsidRPr="00761C29">
        <w:t>сегреговані</w:t>
      </w:r>
      <w:proofErr w:type="spellEnd"/>
      <w:r w:rsidR="00761C29" w:rsidRPr="00761C29">
        <w:t xml:space="preserve"> рахунки, що відкриті для обліку цінних паперів депонентів/номінальних утримувачів у межах рахунків у цінних паперах депозитарних установ з установленням відповідних обмежень щодо обігу ОВДП для здійснення розрахунків за результатами розміщення.</w:t>
      </w:r>
      <w:r w:rsidRPr="00571F58">
        <w:rPr>
          <w:lang w:val="ru-RU"/>
        </w:rPr>
        <w:t>”</w:t>
      </w:r>
      <w:r>
        <w:t>;</w:t>
      </w:r>
    </w:p>
    <w:p w14:paraId="7FEEF424" w14:textId="77777777" w:rsidR="00750470" w:rsidRPr="00B12256" w:rsidRDefault="00750470" w:rsidP="00B12256">
      <w:pPr>
        <w:ind w:firstLine="709"/>
      </w:pPr>
      <w:r w:rsidRPr="00B12256">
        <w:t>абзац четвертий після слова “розміщення” доповнити словами та літерами “, включаючи розміщення під час аукціону з обміну ОВДП,”;</w:t>
      </w:r>
    </w:p>
    <w:p w14:paraId="531E0513" w14:textId="2F759A2A" w:rsidR="00B12256" w:rsidRPr="00B12256" w:rsidRDefault="00B12256">
      <w:pPr>
        <w:ind w:firstLine="709"/>
      </w:pPr>
      <w:r w:rsidRPr="00B12256">
        <w:t>у пункті 82</w:t>
      </w:r>
      <w:r w:rsidR="00D13015">
        <w:t xml:space="preserve"> </w:t>
      </w:r>
      <w:r w:rsidRPr="00B12256">
        <w:t>слов</w:t>
      </w:r>
      <w:r w:rsidR="00D13015">
        <w:t>а</w:t>
      </w:r>
      <w:r w:rsidRPr="00B12256">
        <w:t xml:space="preserve"> “</w:t>
      </w:r>
      <w:r w:rsidR="00057DF2">
        <w:t>Р</w:t>
      </w:r>
      <w:r w:rsidRPr="00B12256">
        <w:t>озрахунки”</w:t>
      </w:r>
      <w:r w:rsidR="00D13015">
        <w:t>,</w:t>
      </w:r>
      <w:r w:rsidRPr="00B12256">
        <w:t xml:space="preserve"> </w:t>
      </w:r>
      <w:r w:rsidR="00D13015" w:rsidRPr="00B12256">
        <w:t xml:space="preserve">“випуску” </w:t>
      </w:r>
      <w:r w:rsidR="00057DF2">
        <w:t>замінити</w:t>
      </w:r>
      <w:r w:rsidR="00057DF2" w:rsidRPr="00B12256">
        <w:t xml:space="preserve"> </w:t>
      </w:r>
      <w:r w:rsidR="00D13015">
        <w:t xml:space="preserve">відповідно </w:t>
      </w:r>
      <w:r w:rsidRPr="00B12256">
        <w:t>слов</w:t>
      </w:r>
      <w:r w:rsidR="00057DF2">
        <w:t>ами</w:t>
      </w:r>
      <w:r w:rsidRPr="00B12256">
        <w:t xml:space="preserve"> “</w:t>
      </w:r>
      <w:r w:rsidR="00057DF2">
        <w:t>Г</w:t>
      </w:r>
      <w:r w:rsidR="00057DF2" w:rsidRPr="00B12256">
        <w:t>рошові</w:t>
      </w:r>
      <w:r w:rsidR="00057DF2">
        <w:t xml:space="preserve"> розрахунки</w:t>
      </w:r>
      <w:r w:rsidRPr="00B12256">
        <w:t>”</w:t>
      </w:r>
      <w:r w:rsidR="00D13015">
        <w:t xml:space="preserve">, </w:t>
      </w:r>
      <w:r w:rsidRPr="00B12256">
        <w:t>“розміщення”;</w:t>
      </w:r>
    </w:p>
    <w:p w14:paraId="41B59892" w14:textId="4DA7F7B4" w:rsidR="00B12256" w:rsidRPr="00B12256" w:rsidRDefault="00BC1A0C" w:rsidP="00B12256">
      <w:pPr>
        <w:ind w:firstLine="709"/>
      </w:pPr>
      <w:r>
        <w:t xml:space="preserve">главу </w:t>
      </w:r>
      <w:r w:rsidR="00B12256" w:rsidRPr="00B12256">
        <w:t>після пункту 82 доповнити двома новими пунктами 82</w:t>
      </w:r>
      <w:r w:rsidR="00B12256" w:rsidRPr="00B12256">
        <w:rPr>
          <w:vertAlign w:val="superscript"/>
        </w:rPr>
        <w:t>1</w:t>
      </w:r>
      <w:r w:rsidR="00B12256" w:rsidRPr="00B12256">
        <w:t>, 82</w:t>
      </w:r>
      <w:r w:rsidR="00B12256" w:rsidRPr="00B12256">
        <w:rPr>
          <w:vertAlign w:val="superscript"/>
        </w:rPr>
        <w:t>2</w:t>
      </w:r>
      <w:r w:rsidR="00B12256" w:rsidRPr="00B12256">
        <w:t xml:space="preserve"> такого змісту:</w:t>
      </w:r>
    </w:p>
    <w:p w14:paraId="6EAAFDBD" w14:textId="77777777" w:rsidR="00B12256" w:rsidRDefault="00B12256" w:rsidP="00B12256">
      <w:pPr>
        <w:ind w:firstLine="709"/>
      </w:pPr>
      <w:r w:rsidRPr="00B12256">
        <w:t>“82</w:t>
      </w:r>
      <w:r w:rsidRPr="00B12256">
        <w:rPr>
          <w:vertAlign w:val="superscript"/>
        </w:rPr>
        <w:t>1</w:t>
      </w:r>
      <w:r w:rsidRPr="00B12256">
        <w:t xml:space="preserve">. Розрахунки в цінних паперах за результатами розміщення ОВДП здійснюються шляхом зарахування депозитарієм Національного банку ОВДП, що розміщуються, на власні рахунки в цінних паперах депозитарних установ та/або агреговані, та/або </w:t>
      </w:r>
      <w:proofErr w:type="spellStart"/>
      <w:r w:rsidRPr="00B12256">
        <w:t>сегреговані</w:t>
      </w:r>
      <w:proofErr w:type="spellEnd"/>
      <w:r w:rsidRPr="00B12256">
        <w:t xml:space="preserve"> рахунки, що відкриті для обліку цінних паперів депонентів/номінальних утримувачів у межах рахунків у цінних паперах депозитарних установ з установленням відповідних обмежень щодо обігу ОВДП та подальшим переказом ОВДП, що розміщуються, на балансові рахунки для обліку ОВДП, не обтяжених зобов'язанням, після отримання депозитарієм Національного банку інформації про завершення грошових розрахунків.</w:t>
      </w:r>
    </w:p>
    <w:p w14:paraId="30D540A9" w14:textId="2343D451" w:rsidR="00B12256" w:rsidRDefault="007A6B70" w:rsidP="00B12256">
      <w:pPr>
        <w:ind w:firstLine="709"/>
      </w:pPr>
      <w:r>
        <w:t>Д</w:t>
      </w:r>
      <w:r w:rsidRPr="0012290B">
        <w:t>епозитарій Національного банку</w:t>
      </w:r>
      <w:r w:rsidR="001771B7">
        <w:t>,</w:t>
      </w:r>
      <w:r w:rsidRPr="0012290B">
        <w:t xml:space="preserve"> </w:t>
      </w:r>
      <w:r>
        <w:t>у</w:t>
      </w:r>
      <w:r w:rsidRPr="0012290B">
        <w:t xml:space="preserve"> </w:t>
      </w:r>
      <w:r w:rsidR="0012290B" w:rsidRPr="0012290B">
        <w:t>випадку порушення учасником розміщення кінцевих строків розрахунків за результатами розміщення ОВДП</w:t>
      </w:r>
      <w:r w:rsidR="001771B7">
        <w:t>,</w:t>
      </w:r>
      <w:r w:rsidR="0012290B" w:rsidRPr="0012290B">
        <w:t xml:space="preserve"> на підставі відповідного розпорядження емітента забезпечує повернення ОВДП, що розміщуються, на його рахунок у цінних паперах.</w:t>
      </w:r>
    </w:p>
    <w:p w14:paraId="001E56C2" w14:textId="77777777" w:rsidR="00F936EF" w:rsidRPr="00B12256" w:rsidRDefault="00F936EF" w:rsidP="00B12256">
      <w:pPr>
        <w:ind w:firstLine="709"/>
      </w:pPr>
    </w:p>
    <w:p w14:paraId="26F30F45" w14:textId="77777777" w:rsidR="00F936EF" w:rsidRDefault="00B12256" w:rsidP="00F936EF">
      <w:pPr>
        <w:ind w:firstLine="709"/>
      </w:pPr>
      <w:r w:rsidRPr="00B12256">
        <w:t>82</w:t>
      </w:r>
      <w:r w:rsidRPr="00B12256">
        <w:rPr>
          <w:vertAlign w:val="superscript"/>
        </w:rPr>
        <w:t>2</w:t>
      </w:r>
      <w:r w:rsidRPr="00B12256">
        <w:t xml:space="preserve">. </w:t>
      </w:r>
      <w:r w:rsidR="00F936EF">
        <w:t xml:space="preserve">Розрахунки в цінних паперах за результатами розміщення ОВДП під час аукціону з обміну ОВДП здійснюються шляхом зарахування депозитарієм Національного банку ОВДП, що розміщуються, на власні рахунки в цінних паперах депозитарних установ та/або агреговані, та/або </w:t>
      </w:r>
      <w:proofErr w:type="spellStart"/>
      <w:r w:rsidR="00F936EF">
        <w:t>сегреговані</w:t>
      </w:r>
      <w:proofErr w:type="spellEnd"/>
      <w:r w:rsidR="00F936EF">
        <w:t xml:space="preserve"> рахунки, що відкриті для обліку цінних паперів депонентів/номінальних утримувачів у межах рахунків у цінних паперах депозитарних установ з установленням відповідних обмежень щодо обігу ОВДП, що розміщуються. </w:t>
      </w:r>
    </w:p>
    <w:p w14:paraId="559D85C9" w14:textId="77777777" w:rsidR="00F936EF" w:rsidRDefault="00F936EF" w:rsidP="00F936EF">
      <w:pPr>
        <w:ind w:firstLine="709"/>
      </w:pPr>
      <w:r>
        <w:t xml:space="preserve">Переказ ОВДП, що розміщуються, на балансові рахунки для обліку ОВДП, не обтяжених зобов'язанням, здійснюється депозитарієм Національного банку після списання депозитарієм Національного банку ОВДП в обігу з власних рахунків в цінних паперах депозитарних установ та/або агрегованих, та/або </w:t>
      </w:r>
      <w:proofErr w:type="spellStart"/>
      <w:r>
        <w:t>сегрегованих</w:t>
      </w:r>
      <w:proofErr w:type="spellEnd"/>
      <w:r>
        <w:t xml:space="preserve"> рахунків, що відкриті для обліку цінних паперів депонентів/номінальних утримувачів у межах рахунків у цінних паперах депозитарних установ на рахунок у цінних паперах емітента після отримання депозитарієм Національного банку інформації про здійснення  учасниками аукціону з обміну ОВДП оплати різниці вартостей ОВДП (для ОВДП, номінованих в іноземній валюті, – якщо оплата різниці вартостей ОВДП має бути сплачена за результатами аукціону з обміну ОВДП).</w:t>
      </w:r>
    </w:p>
    <w:p w14:paraId="17224F55" w14:textId="4D0818F8" w:rsidR="00F936EF" w:rsidRDefault="006E76DA" w:rsidP="00F936EF">
      <w:pPr>
        <w:ind w:firstLine="709"/>
      </w:pPr>
      <w:r>
        <w:t>П</w:t>
      </w:r>
      <w:r w:rsidR="00BE0755">
        <w:t xml:space="preserve">ереказ ОВДП, що розміщуються під час аукціону з обміну ОВДП, на балансові рахунки для обліку ОВДП, не обтяжених зобов'язанням </w:t>
      </w:r>
      <w:r>
        <w:t xml:space="preserve">у </w:t>
      </w:r>
      <w:r w:rsidR="00F936EF">
        <w:t>випадку порушення учасником аукціону з обміну ОВДП кінцевих строків розрахунків за результатами такого аукціону, якщо після дати платежу за аукціоном з обміну ОВДП відбулась проміжна виплата доходу за ОВДП в обігу, відбувається за умови здійснення дій, зазначених в абзаці другому пункту 82</w:t>
      </w:r>
      <w:r w:rsidR="00F936EF" w:rsidRPr="006F11C2">
        <w:rPr>
          <w:vertAlign w:val="superscript"/>
        </w:rPr>
        <w:t>2</w:t>
      </w:r>
      <w:r w:rsidR="00F936EF">
        <w:t xml:space="preserve"> глави 8 розділу ІІ цього Положення, та після отримання депозитарієм Національного банку інформації про перерахування учасником аукціону з обміну ОВДП у повному обсязі суми проміжної виплати доходу за ОВДП в обігу на рахунок Національного банку для її подальшого перерахування Державній казначейській службі України.</w:t>
      </w:r>
    </w:p>
    <w:p w14:paraId="1A4A2528" w14:textId="46E345DB" w:rsidR="007D7DB6" w:rsidRPr="004541C5" w:rsidRDefault="00611739" w:rsidP="00F936EF">
      <w:pPr>
        <w:ind w:firstLine="709"/>
      </w:pPr>
      <w:r>
        <w:t>Депозитарій Національного банку</w:t>
      </w:r>
      <w:r w:rsidR="001771B7">
        <w:t>,</w:t>
      </w:r>
      <w:r>
        <w:t xml:space="preserve"> у </w:t>
      </w:r>
      <w:r w:rsidR="00F936EF">
        <w:t xml:space="preserve">випадку порушення учасником аукціону з обміну ОВДП кінцевих строків розрахунків за результатами такого аукціону, якщо після дати платежу за аукціоном з обміну ОВДП відбулося погашення ОВДП в обігу, в порядку виконання безумовної операції здійснює списання ОВДП в обігу з власних рахунків в цінних паперах депозитарних установ та/або агрегованих, та/або </w:t>
      </w:r>
      <w:proofErr w:type="spellStart"/>
      <w:r w:rsidR="00F936EF">
        <w:t>сегрегованих</w:t>
      </w:r>
      <w:proofErr w:type="spellEnd"/>
      <w:r w:rsidR="00F936EF">
        <w:t xml:space="preserve"> рахунків, що відкриті для обліку цінних паперів депонентів/номінальних утримувачів у межах рахунків у цінних паперах депозитарних установ,  та на підставі відповідного розпорядження емітента забезпечує повернення ОВДП, що розміщуються під час аукціону з обміну ОВДП, на його рахунок у цінних паперах.</w:t>
      </w:r>
      <w:r w:rsidR="00B12256" w:rsidRPr="004541C5">
        <w:t>”;</w:t>
      </w:r>
    </w:p>
    <w:p w14:paraId="298028A1" w14:textId="314ED185" w:rsidR="00D20D13" w:rsidRPr="004541C5" w:rsidRDefault="00D20D13" w:rsidP="004541C5">
      <w:pPr>
        <w:ind w:firstLine="709"/>
      </w:pPr>
      <w:r w:rsidRPr="004541C5">
        <w:t>пункт 83</w:t>
      </w:r>
      <w:r w:rsidR="00B9672B">
        <w:t xml:space="preserve"> викласти в такій редакції</w:t>
      </w:r>
      <w:r w:rsidRPr="004541C5">
        <w:t>:</w:t>
      </w:r>
    </w:p>
    <w:p w14:paraId="7C67893E" w14:textId="0EC4678A" w:rsidR="00EE5CE2" w:rsidRPr="004541C5" w:rsidRDefault="00B9672B">
      <w:pPr>
        <w:ind w:firstLine="709"/>
      </w:pPr>
      <w:r>
        <w:t>«</w:t>
      </w:r>
      <w:r w:rsidRPr="00B9672B">
        <w:t>83. Обіг ОВДП дозволяється тільки після проведення депозитарієм Національного банку за рахунками в цінних паперах власників безумовної депозитарної операції переказу ОВДП, що розміщуються, на балансовий рахунок для обліку ОВДП, не обтяжених зобов'язаннями, яка відбувається за результатами завершення розрахунків за ОВДП під час первинного розміщення, включаючи розміщення під час аукціону з обміну ОВДП, за принципами “оплата  проти поставки цінних паперів”, “поставка цінних паперів проти поставки цінних паперів”.</w:t>
      </w:r>
      <w:r>
        <w:t>»</w:t>
      </w:r>
      <w:r w:rsidR="00EE5CE2" w:rsidRPr="004541C5">
        <w:t>;</w:t>
      </w:r>
    </w:p>
    <w:p w14:paraId="2B08F9D9" w14:textId="77777777" w:rsidR="00944339" w:rsidRPr="004541C5" w:rsidRDefault="00944339" w:rsidP="004541C5">
      <w:pPr>
        <w:ind w:firstLine="709"/>
      </w:pPr>
      <w:r w:rsidRPr="004541C5">
        <w:t>у пункті 85:</w:t>
      </w:r>
    </w:p>
    <w:p w14:paraId="1265CA15" w14:textId="77777777" w:rsidR="00944339" w:rsidRPr="004541C5" w:rsidRDefault="000416E0" w:rsidP="004541C5">
      <w:pPr>
        <w:ind w:firstLine="709"/>
      </w:pPr>
      <w:r w:rsidRPr="004541C5">
        <w:t>абзац перший після слова “розміщення” доповнити словами та літерами “облігацій, включаючи розміщення під час аукціону з обміну ОВДП,”;</w:t>
      </w:r>
    </w:p>
    <w:p w14:paraId="66064FB5" w14:textId="049C433E" w:rsidR="0001523B" w:rsidRDefault="0001523B" w:rsidP="004541C5">
      <w:pPr>
        <w:ind w:firstLine="709"/>
      </w:pPr>
      <w:r w:rsidRPr="004541C5">
        <w:t>у підпункті 2 слова та літери “якщо учасник емісії не здійснив оплату за ОВДП” замінити словами та літерами “якщо учасник розміщення/учасник аукціону з обміну ОВДП не здійснив розрахунки за ОВДП”;</w:t>
      </w:r>
    </w:p>
    <w:p w14:paraId="79CC622F" w14:textId="77777777" w:rsidR="00FE65A3" w:rsidRPr="004541C5" w:rsidRDefault="00FE65A3" w:rsidP="004541C5">
      <w:pPr>
        <w:ind w:firstLine="709"/>
      </w:pPr>
    </w:p>
    <w:p w14:paraId="1B2CC8EB" w14:textId="77777777" w:rsidR="0018272A" w:rsidRPr="004541C5" w:rsidRDefault="0018272A" w:rsidP="001F177F">
      <w:pPr>
        <w:pStyle w:val="af3"/>
        <w:numPr>
          <w:ilvl w:val="0"/>
          <w:numId w:val="4"/>
        </w:numPr>
      </w:pPr>
      <w:r w:rsidRPr="004541C5">
        <w:t>у главі 10:</w:t>
      </w:r>
    </w:p>
    <w:p w14:paraId="2024A402" w14:textId="5F4B876A" w:rsidR="0018272A" w:rsidRPr="004541C5" w:rsidRDefault="00DC4850" w:rsidP="004541C5">
      <w:pPr>
        <w:ind w:firstLine="709"/>
      </w:pPr>
      <w:r w:rsidRPr="004541C5">
        <w:t xml:space="preserve">підпункт </w:t>
      </w:r>
      <w:r w:rsidR="00BC1A0C">
        <w:t>1</w:t>
      </w:r>
      <w:r w:rsidRPr="004541C5">
        <w:t xml:space="preserve"> пункту 91 після слова “установами” доповнити словами та літерами “, та ОВДП, що розміщуються під час аукціону з обміну ОВДП”;</w:t>
      </w:r>
    </w:p>
    <w:p w14:paraId="38B4A2E4" w14:textId="3EF3BC43" w:rsidR="00777528" w:rsidRPr="004541C5" w:rsidRDefault="00FE65A3" w:rsidP="004541C5">
      <w:pPr>
        <w:ind w:firstLine="709"/>
      </w:pPr>
      <w:r>
        <w:t xml:space="preserve">у </w:t>
      </w:r>
      <w:r w:rsidR="00777528" w:rsidRPr="004541C5">
        <w:t>пункт</w:t>
      </w:r>
      <w:r>
        <w:t>і</w:t>
      </w:r>
      <w:r w:rsidR="00777528" w:rsidRPr="004541C5">
        <w:t xml:space="preserve"> 92 слово “</w:t>
      </w:r>
      <w:r>
        <w:t>Р</w:t>
      </w:r>
      <w:r w:rsidRPr="004541C5">
        <w:t>озрахунки</w:t>
      </w:r>
      <w:r w:rsidR="00777528" w:rsidRPr="004541C5">
        <w:t xml:space="preserve">” </w:t>
      </w:r>
      <w:r>
        <w:t>замінити</w:t>
      </w:r>
      <w:r w:rsidRPr="004541C5">
        <w:t xml:space="preserve"> слов</w:t>
      </w:r>
      <w:r>
        <w:t>ами</w:t>
      </w:r>
      <w:r w:rsidRPr="004541C5">
        <w:t xml:space="preserve"> </w:t>
      </w:r>
      <w:r w:rsidR="00777528" w:rsidRPr="004541C5">
        <w:t>“</w:t>
      </w:r>
      <w:r>
        <w:t>Г</w:t>
      </w:r>
      <w:r w:rsidRPr="004541C5">
        <w:t>рошові</w:t>
      </w:r>
      <w:r>
        <w:t xml:space="preserve"> розрахунки</w:t>
      </w:r>
      <w:r w:rsidR="00777528" w:rsidRPr="004541C5">
        <w:t>”;</w:t>
      </w:r>
    </w:p>
    <w:p w14:paraId="04D9C738" w14:textId="1CA80685" w:rsidR="00777528" w:rsidRDefault="00B37DB5" w:rsidP="004541C5">
      <w:pPr>
        <w:ind w:firstLine="709"/>
      </w:pPr>
      <w:r w:rsidRPr="004541C5">
        <w:t xml:space="preserve">абзац </w:t>
      </w:r>
      <w:r w:rsidR="006168B0" w:rsidRPr="004541C5">
        <w:t>перший пункту 93 доповнити словами та літерами “або умовах аукціону з обміну ОВДП”;</w:t>
      </w:r>
    </w:p>
    <w:p w14:paraId="750ED2C9" w14:textId="278A1B33" w:rsidR="0017412C" w:rsidRPr="007C7201" w:rsidRDefault="0017412C" w:rsidP="004541C5">
      <w:pPr>
        <w:ind w:firstLine="709"/>
      </w:pPr>
      <w:r w:rsidRPr="00555EEE">
        <w:t>у підпункті 3 пункту 94 слова та літери “зведену відомість розподілу ЦП між учасниками розміщення” замінити словами “відомість про суми коштів, що належать до перерахування Операційному департаменту Національного банку від учасників розміщень облігацій”</w:t>
      </w:r>
      <w:r w:rsidR="007C7201" w:rsidRPr="00555EEE">
        <w:t>;</w:t>
      </w:r>
    </w:p>
    <w:p w14:paraId="3FC27133" w14:textId="5237E3F7" w:rsidR="007C7201" w:rsidRDefault="007C7201" w:rsidP="004541C5">
      <w:pPr>
        <w:ind w:firstLine="709"/>
      </w:pPr>
      <w:r>
        <w:t xml:space="preserve">у пункті </w:t>
      </w:r>
      <w:r w:rsidRPr="004541C5">
        <w:t>97</w:t>
      </w:r>
      <w:r w:rsidRPr="004541C5">
        <w:rPr>
          <w:vertAlign w:val="superscript"/>
        </w:rPr>
        <w:t>1</w:t>
      </w:r>
      <w:r w:rsidRPr="007C7201">
        <w:t>:</w:t>
      </w:r>
    </w:p>
    <w:p w14:paraId="31BC6046" w14:textId="2234859C" w:rsidR="00F15C2D" w:rsidRDefault="00F15C2D" w:rsidP="004541C5">
      <w:pPr>
        <w:ind w:firstLine="709"/>
      </w:pPr>
      <w:r w:rsidRPr="004541C5">
        <w:t>абзац перший  після слова “клірингу” доповнити словами та літерами “(крім розміщення під час аукціону з обміну ОВДП)”;</w:t>
      </w:r>
    </w:p>
    <w:p w14:paraId="6F044E72" w14:textId="53F663CC" w:rsidR="007C7201" w:rsidRPr="004541C5" w:rsidRDefault="007C7201" w:rsidP="004541C5">
      <w:pPr>
        <w:ind w:firstLine="709"/>
      </w:pPr>
      <w:r w:rsidRPr="007C7201">
        <w:t>у підпункті 3 слова та літери “зведену відомість розподілу ЦП між учасниками розміщення” замінити словами “відомість про суми коштів, що належать до перерахування Операційному департаменту Національного банку від учасників розміщень облігацій”</w:t>
      </w:r>
      <w:r w:rsidR="00B05A7C">
        <w:t>;</w:t>
      </w:r>
    </w:p>
    <w:p w14:paraId="22C6285C" w14:textId="77777777" w:rsidR="004C5F28" w:rsidRPr="004541C5" w:rsidRDefault="004C5F28" w:rsidP="004541C5">
      <w:pPr>
        <w:ind w:firstLine="709"/>
      </w:pPr>
      <w:r w:rsidRPr="004541C5">
        <w:t>абзац перший пункту 97</w:t>
      </w:r>
      <w:r w:rsidRPr="004541C5">
        <w:rPr>
          <w:vertAlign w:val="superscript"/>
        </w:rPr>
        <w:t>2</w:t>
      </w:r>
      <w:r w:rsidRPr="004541C5">
        <w:t xml:space="preserve"> доповнити словами та літерами “(крім розміщення під час аукціону з обміну ОВДП)”;</w:t>
      </w:r>
    </w:p>
    <w:p w14:paraId="27071D7A" w14:textId="2F0648F7" w:rsidR="004C5F28" w:rsidRPr="004541C5" w:rsidRDefault="006A2334" w:rsidP="004541C5">
      <w:pPr>
        <w:ind w:firstLine="709"/>
      </w:pPr>
      <w:r>
        <w:t xml:space="preserve">главу </w:t>
      </w:r>
      <w:r w:rsidR="004C5F28" w:rsidRPr="004541C5">
        <w:t xml:space="preserve">після пункту </w:t>
      </w:r>
      <w:r w:rsidR="00851675" w:rsidRPr="004541C5">
        <w:t>97</w:t>
      </w:r>
      <w:r w:rsidR="00851675">
        <w:rPr>
          <w:vertAlign w:val="superscript"/>
        </w:rPr>
        <w:t>2</w:t>
      </w:r>
      <w:r w:rsidR="00851675" w:rsidRPr="004541C5">
        <w:t xml:space="preserve"> </w:t>
      </w:r>
      <w:r w:rsidR="004C5F28" w:rsidRPr="004541C5">
        <w:t xml:space="preserve">доповнити новим пунктом </w:t>
      </w:r>
      <w:r w:rsidR="00851675" w:rsidRPr="004541C5">
        <w:t>97</w:t>
      </w:r>
      <w:r w:rsidR="00851675">
        <w:rPr>
          <w:vertAlign w:val="superscript"/>
        </w:rPr>
        <w:t>3</w:t>
      </w:r>
      <w:r w:rsidR="00851675" w:rsidRPr="004541C5">
        <w:t xml:space="preserve"> </w:t>
      </w:r>
      <w:r w:rsidR="004C5F28" w:rsidRPr="004541C5">
        <w:t>такого змісту:</w:t>
      </w:r>
    </w:p>
    <w:p w14:paraId="570292CE" w14:textId="25A99750" w:rsidR="008F0693" w:rsidRDefault="004C5F28" w:rsidP="008F0693">
      <w:pPr>
        <w:ind w:firstLine="709"/>
      </w:pPr>
      <w:r w:rsidRPr="004541C5">
        <w:t>“</w:t>
      </w:r>
      <w:r w:rsidR="00851675" w:rsidRPr="004541C5">
        <w:t>97</w:t>
      </w:r>
      <w:r w:rsidR="00851675">
        <w:rPr>
          <w:vertAlign w:val="superscript"/>
        </w:rPr>
        <w:t>3</w:t>
      </w:r>
      <w:r w:rsidRPr="004541C5">
        <w:t xml:space="preserve">. </w:t>
      </w:r>
      <w:r w:rsidR="008F0693">
        <w:t>Депозитарій Національного банку для здійснення розрахунків за результатами розміщення ОВДП під час аукціону з обміну ОВДП в день, що є датою платежу, на підставі інформації із системи депозитарного обліку станом на відповідну дату обліку формує та подає/надає можливість сформувати засобами системи автоматизації депозитарію Національного банку:</w:t>
      </w:r>
    </w:p>
    <w:p w14:paraId="18C6DF9A" w14:textId="77777777" w:rsidR="008F0693" w:rsidRDefault="008F0693" w:rsidP="008F0693">
      <w:pPr>
        <w:ind w:firstLine="709"/>
      </w:pPr>
    </w:p>
    <w:p w14:paraId="207CC69A" w14:textId="77777777" w:rsidR="008F0693" w:rsidRDefault="008F0693" w:rsidP="008F0693">
      <w:pPr>
        <w:ind w:firstLine="709"/>
      </w:pPr>
      <w:r>
        <w:t>1) обслуговуючому банку емітента відомість про здійснення розрахунків за результатами аукціону з обміну облігацій;</w:t>
      </w:r>
    </w:p>
    <w:p w14:paraId="6DDBC980" w14:textId="77777777" w:rsidR="008F0693" w:rsidRDefault="008F0693" w:rsidP="008F0693">
      <w:pPr>
        <w:ind w:firstLine="709"/>
      </w:pPr>
    </w:p>
    <w:p w14:paraId="23CE1F40" w14:textId="77777777" w:rsidR="008F0693" w:rsidRDefault="008F0693" w:rsidP="008F0693">
      <w:pPr>
        <w:ind w:firstLine="709"/>
      </w:pPr>
      <w:r>
        <w:t xml:space="preserve"> 2) структурному підрозділу Національного банку, що забезпечує здійснення грошових  розрахунків, відомість про здійснення розрахунків за результатами аукціону з обміну облігацій;</w:t>
      </w:r>
    </w:p>
    <w:p w14:paraId="35919585" w14:textId="77777777" w:rsidR="008F0693" w:rsidRDefault="008F0693" w:rsidP="008F0693">
      <w:pPr>
        <w:ind w:firstLine="709"/>
      </w:pPr>
    </w:p>
    <w:p w14:paraId="2D21DCCB" w14:textId="5070ECBD" w:rsidR="008F0693" w:rsidRDefault="008F0693" w:rsidP="008F0693">
      <w:pPr>
        <w:ind w:firstLine="709"/>
      </w:pPr>
      <w:r>
        <w:t xml:space="preserve"> 3) структурному підрозділу Національного банку, що забезпечує здійснення грошових розрахунків, відомість про суми коштів</w:t>
      </w:r>
      <w:r w:rsidR="00B05A7C">
        <w:t>, що належать</w:t>
      </w:r>
      <w:r>
        <w:t xml:space="preserve"> до</w:t>
      </w:r>
      <w:r w:rsidR="00B05A7C">
        <w:t xml:space="preserve"> перерахування</w:t>
      </w:r>
      <w:r>
        <w:t xml:space="preserve"> </w:t>
      </w:r>
      <w:r w:rsidR="00B05A7C">
        <w:t xml:space="preserve">Операційному </w:t>
      </w:r>
      <w:r>
        <w:t>департаменту Національного банку  від учасників обміну облігацій за результатами аукціону з обміну облігацій;</w:t>
      </w:r>
    </w:p>
    <w:p w14:paraId="07202A8C" w14:textId="77777777" w:rsidR="008F0693" w:rsidRDefault="008F0693" w:rsidP="008F0693">
      <w:pPr>
        <w:ind w:firstLine="709"/>
      </w:pPr>
    </w:p>
    <w:p w14:paraId="780CE551" w14:textId="1736ED5F" w:rsidR="004C5F28" w:rsidRPr="004541C5" w:rsidRDefault="008F0693" w:rsidP="008F0693">
      <w:pPr>
        <w:ind w:firstLine="709"/>
      </w:pPr>
      <w:r>
        <w:t xml:space="preserve"> 4) депозитарним установам, які та/або депоненти, клієнти яких мають грошові зобов’язання перед емітентом, запит на ініціювання платіжної інструкції на суму різниці вартостей ОВДП у національній валюті та відомість про здійснення розрахунків за результатами аукціону з обміну облігацій.</w:t>
      </w:r>
      <w:r w:rsidR="004C5F28" w:rsidRPr="004541C5">
        <w:t>”;</w:t>
      </w:r>
    </w:p>
    <w:p w14:paraId="21C657ED" w14:textId="77777777" w:rsidR="005330A3" w:rsidRPr="004541C5" w:rsidRDefault="005330A3" w:rsidP="004541C5">
      <w:pPr>
        <w:ind w:firstLine="709"/>
      </w:pPr>
      <w:r w:rsidRPr="004541C5">
        <w:t>пункт 98 після літер “ОВДП” доповнити словами та літерами “, включаючи розміщення під час аукціону з обміну ОВДП,”;</w:t>
      </w:r>
    </w:p>
    <w:p w14:paraId="5127F08B" w14:textId="27C42348" w:rsidR="002B6FFE" w:rsidRPr="004541C5" w:rsidRDefault="00264A22" w:rsidP="004541C5">
      <w:pPr>
        <w:ind w:firstLine="709"/>
      </w:pPr>
      <w:r>
        <w:t>главу</w:t>
      </w:r>
      <w:r w:rsidR="002B6FFE" w:rsidRPr="004541C5">
        <w:t xml:space="preserve"> </w:t>
      </w:r>
      <w:r w:rsidR="006A2334">
        <w:t xml:space="preserve">доповнити </w:t>
      </w:r>
      <w:r w:rsidR="002B6FFE" w:rsidRPr="004541C5">
        <w:t>новим пунктом такого змісту:</w:t>
      </w:r>
    </w:p>
    <w:p w14:paraId="0443EF59" w14:textId="2BEB6055" w:rsidR="002B6FFE" w:rsidRDefault="002B6FFE" w:rsidP="004541C5">
      <w:pPr>
        <w:ind w:firstLine="709"/>
      </w:pPr>
      <w:r w:rsidRPr="004541C5">
        <w:t>“98</w:t>
      </w:r>
      <w:r w:rsidRPr="004541C5">
        <w:rPr>
          <w:vertAlign w:val="superscript"/>
        </w:rPr>
        <w:t>1</w:t>
      </w:r>
      <w:r w:rsidRPr="004541C5">
        <w:t>. Депозитарій Національного банку після завершення розрахунків за результатами розміщення ОВДП, уключаючи розміщення під час аукціону з обміну ОВДП, без проведення грошового клірингу, здійснює безумовні депозитарні операції щодо розблокування ОВДП, що були розміщені.”;</w:t>
      </w:r>
    </w:p>
    <w:p w14:paraId="7FDB6914" w14:textId="77777777" w:rsidR="00B434B0" w:rsidRPr="004541C5" w:rsidRDefault="00B434B0" w:rsidP="004541C5">
      <w:pPr>
        <w:ind w:firstLine="709"/>
      </w:pPr>
    </w:p>
    <w:p w14:paraId="3D41DD8F" w14:textId="77777777" w:rsidR="002B6FFE" w:rsidRPr="004541C5" w:rsidRDefault="00071451" w:rsidP="001F177F">
      <w:pPr>
        <w:pStyle w:val="af3"/>
        <w:numPr>
          <w:ilvl w:val="0"/>
          <w:numId w:val="4"/>
        </w:numPr>
        <w:ind w:left="0" w:firstLine="709"/>
      </w:pPr>
      <w:r w:rsidRPr="004541C5">
        <w:t>у главі 15:</w:t>
      </w:r>
    </w:p>
    <w:p w14:paraId="22DD8194" w14:textId="77777777" w:rsidR="00071451" w:rsidRPr="004541C5" w:rsidRDefault="003C7B72" w:rsidP="004541C5">
      <w:pPr>
        <w:ind w:firstLine="709"/>
      </w:pPr>
      <w:r w:rsidRPr="004541C5">
        <w:t>у пункті 127:</w:t>
      </w:r>
    </w:p>
    <w:p w14:paraId="26C0E14F" w14:textId="2A8A4E2F" w:rsidR="003C7B72" w:rsidRPr="004541C5" w:rsidRDefault="003C7B72" w:rsidP="004541C5">
      <w:pPr>
        <w:ind w:firstLine="709"/>
      </w:pPr>
      <w:r w:rsidRPr="004541C5">
        <w:t>у підпункті</w:t>
      </w:r>
      <w:r w:rsidR="006A2334">
        <w:t xml:space="preserve"> 1</w:t>
      </w:r>
      <w:r w:rsidRPr="004541C5">
        <w:t xml:space="preserve"> слова та літери “грошові розрахунки за результатами розміщення ОВДП на аукціоні” замінити словами та </w:t>
      </w:r>
      <w:r w:rsidR="00E04474" w:rsidRPr="004541C5">
        <w:t>літерами “розрахунки за результатами розміщення ОВДП на аукціоні з розміщення або аукціоні з обміну ОВДП”</w:t>
      </w:r>
      <w:r w:rsidR="008A29F3" w:rsidRPr="004541C5">
        <w:t>;</w:t>
      </w:r>
    </w:p>
    <w:p w14:paraId="509065AC" w14:textId="5FD555C8" w:rsidR="00A34925" w:rsidRPr="004541C5" w:rsidRDefault="00A34925" w:rsidP="004541C5">
      <w:pPr>
        <w:ind w:firstLine="709"/>
      </w:pPr>
      <w:r w:rsidRPr="004541C5">
        <w:t xml:space="preserve">підпункти </w:t>
      </w:r>
      <w:r w:rsidR="006A2334">
        <w:t>2</w:t>
      </w:r>
      <w:r w:rsidR="0090186E">
        <w:t xml:space="preserve">, </w:t>
      </w:r>
      <w:r w:rsidR="006A2334">
        <w:t>4</w:t>
      </w:r>
      <w:r w:rsidRPr="004541C5">
        <w:t xml:space="preserve"> після слів та літер “</w:t>
      </w:r>
      <w:proofErr w:type="spellStart"/>
      <w:r w:rsidRPr="004541C5">
        <w:t>дорозміщення</w:t>
      </w:r>
      <w:proofErr w:type="spellEnd"/>
      <w:r w:rsidRPr="004541C5">
        <w:t xml:space="preserve"> ОВДП” доповнити словами та літерами “, уключаючи </w:t>
      </w:r>
      <w:proofErr w:type="spellStart"/>
      <w:r w:rsidRPr="004541C5">
        <w:t>дорозміщення</w:t>
      </w:r>
      <w:proofErr w:type="spellEnd"/>
      <w:r w:rsidRPr="004541C5">
        <w:t xml:space="preserve"> під час аукціону з обміну ОВДП,”;</w:t>
      </w:r>
    </w:p>
    <w:p w14:paraId="4E994662" w14:textId="77777777" w:rsidR="00A34925" w:rsidRDefault="00A34925" w:rsidP="004541C5">
      <w:pPr>
        <w:ind w:firstLine="709"/>
      </w:pPr>
      <w:r w:rsidRPr="004541C5">
        <w:t>абзац перший пункту 132 після слова “</w:t>
      </w:r>
      <w:r w:rsidR="00101596">
        <w:t>емітентом</w:t>
      </w:r>
      <w:r w:rsidRPr="004541C5">
        <w:t>” доповнити словами та літерами “</w:t>
      </w:r>
      <w:r w:rsidR="00101596" w:rsidRPr="00101596">
        <w:t xml:space="preserve">, уключаючи </w:t>
      </w:r>
      <w:proofErr w:type="spellStart"/>
      <w:r w:rsidR="00101596" w:rsidRPr="00101596">
        <w:t>дорозміщення</w:t>
      </w:r>
      <w:proofErr w:type="spellEnd"/>
      <w:r w:rsidR="00101596" w:rsidRPr="00101596">
        <w:t xml:space="preserve"> ОВДП, погашення випуску ОВДП або переоформлення глобального сертифіката емітентом під час/за результатами аукціону з обміну ОВДП,</w:t>
      </w:r>
      <w:r w:rsidRPr="004541C5">
        <w:t>”</w:t>
      </w:r>
      <w:r w:rsidR="007E26FC">
        <w:t>.</w:t>
      </w:r>
    </w:p>
    <w:p w14:paraId="692E01B4" w14:textId="77777777" w:rsidR="007E26FC" w:rsidRDefault="007E26FC" w:rsidP="004541C5">
      <w:pPr>
        <w:ind w:firstLine="709"/>
      </w:pPr>
    </w:p>
    <w:p w14:paraId="25044A02" w14:textId="77777777" w:rsidR="007E26FC" w:rsidRDefault="007E26FC" w:rsidP="001F177F">
      <w:pPr>
        <w:pStyle w:val="af3"/>
        <w:numPr>
          <w:ilvl w:val="0"/>
          <w:numId w:val="1"/>
        </w:numPr>
      </w:pPr>
      <w:r>
        <w:t>У розділі ІІІ:</w:t>
      </w:r>
    </w:p>
    <w:p w14:paraId="3097EC9E" w14:textId="77777777" w:rsidR="007E26FC" w:rsidRPr="004541C5" w:rsidRDefault="007E26FC" w:rsidP="007E26FC">
      <w:pPr>
        <w:pStyle w:val="af3"/>
        <w:ind w:left="1069"/>
      </w:pPr>
    </w:p>
    <w:p w14:paraId="4F5D4496" w14:textId="77777777" w:rsidR="00AD4598" w:rsidRDefault="00AD4598" w:rsidP="00AD4598">
      <w:pPr>
        <w:pStyle w:val="af3"/>
        <w:numPr>
          <w:ilvl w:val="0"/>
          <w:numId w:val="5"/>
        </w:numPr>
        <w:tabs>
          <w:tab w:val="left" w:pos="709"/>
        </w:tabs>
        <w:ind w:left="0" w:firstLine="851"/>
      </w:pPr>
      <w:r>
        <w:t>у главі 17:</w:t>
      </w:r>
    </w:p>
    <w:p w14:paraId="481D0A81" w14:textId="77777777" w:rsidR="00E86618" w:rsidRDefault="00E86618" w:rsidP="00AD4598">
      <w:pPr>
        <w:tabs>
          <w:tab w:val="left" w:pos="709"/>
        </w:tabs>
        <w:ind w:firstLine="851"/>
      </w:pPr>
      <w:r>
        <w:t>у пункті 140:</w:t>
      </w:r>
    </w:p>
    <w:p w14:paraId="1D28D2CE" w14:textId="1648C615" w:rsidR="00E86618" w:rsidRDefault="00E86618" w:rsidP="00AD4598">
      <w:pPr>
        <w:tabs>
          <w:tab w:val="left" w:pos="709"/>
        </w:tabs>
        <w:ind w:firstLine="851"/>
      </w:pPr>
      <w:r>
        <w:t xml:space="preserve">у підпункті </w:t>
      </w:r>
      <w:r w:rsidR="006A2334">
        <w:t>1</w:t>
      </w:r>
      <w:r>
        <w:t>:</w:t>
      </w:r>
    </w:p>
    <w:p w14:paraId="422BD771" w14:textId="77777777" w:rsidR="00E86618" w:rsidRDefault="00E64B29" w:rsidP="00AD4598">
      <w:pPr>
        <w:tabs>
          <w:tab w:val="left" w:pos="709"/>
        </w:tabs>
        <w:ind w:firstLine="851"/>
      </w:pPr>
      <w:r>
        <w:t xml:space="preserve">у першому реченні </w:t>
      </w:r>
      <w:r w:rsidR="00E86618">
        <w:t xml:space="preserve">слова </w:t>
      </w:r>
      <w:r w:rsidR="00E86618" w:rsidRPr="00571F58">
        <w:rPr>
          <w:lang w:val="ru-RU"/>
        </w:rPr>
        <w:t>“</w:t>
      </w:r>
      <w:r w:rsidR="00E86618">
        <w:t>депозитарію Національного банку</w:t>
      </w:r>
      <w:r w:rsidR="00E86618" w:rsidRPr="00571F58">
        <w:rPr>
          <w:lang w:val="ru-RU"/>
        </w:rPr>
        <w:t>”</w:t>
      </w:r>
      <w:r w:rsidR="00E86618">
        <w:t xml:space="preserve"> замінити словами</w:t>
      </w:r>
      <w:r w:rsidR="00E86618" w:rsidRPr="00571F58">
        <w:rPr>
          <w:lang w:val="ru-RU"/>
        </w:rPr>
        <w:t xml:space="preserve"> “</w:t>
      </w:r>
      <w:r w:rsidR="00E86618">
        <w:t>Національному банку</w:t>
      </w:r>
      <w:r w:rsidR="00E86618" w:rsidRPr="00571F58">
        <w:rPr>
          <w:lang w:val="ru-RU"/>
        </w:rPr>
        <w:t>”</w:t>
      </w:r>
      <w:r w:rsidR="00E86618">
        <w:t>;</w:t>
      </w:r>
    </w:p>
    <w:p w14:paraId="26F4E324" w14:textId="77777777" w:rsidR="00E64B29" w:rsidRDefault="00E64B29" w:rsidP="00AD4598">
      <w:pPr>
        <w:tabs>
          <w:tab w:val="left" w:pos="709"/>
        </w:tabs>
        <w:ind w:firstLine="851"/>
      </w:pPr>
      <w:r>
        <w:t>у другому реченні:</w:t>
      </w:r>
    </w:p>
    <w:p w14:paraId="1BBAB4CC" w14:textId="00E3D7BE" w:rsidR="00E64B29" w:rsidRDefault="00E154AE" w:rsidP="00AD4598">
      <w:pPr>
        <w:tabs>
          <w:tab w:val="left" w:pos="709"/>
        </w:tabs>
        <w:ind w:firstLine="851"/>
      </w:pPr>
      <w:r>
        <w:t xml:space="preserve">речення </w:t>
      </w:r>
      <w:r w:rsidR="00E64B29">
        <w:t xml:space="preserve">після слів </w:t>
      </w:r>
      <w:r w:rsidR="00E64B29" w:rsidRPr="00571F58">
        <w:rPr>
          <w:lang w:val="ru-RU"/>
        </w:rPr>
        <w:t>“</w:t>
      </w:r>
      <w:r w:rsidR="00E64B29">
        <w:t>підключення до</w:t>
      </w:r>
      <w:r w:rsidR="00E64B29" w:rsidRPr="00571F58">
        <w:rPr>
          <w:lang w:val="ru-RU"/>
        </w:rPr>
        <w:t>”</w:t>
      </w:r>
      <w:r w:rsidR="00E64B29">
        <w:t xml:space="preserve"> доповнити словом </w:t>
      </w:r>
      <w:r w:rsidR="00E64B29" w:rsidRPr="00571F58">
        <w:rPr>
          <w:lang w:val="ru-RU"/>
        </w:rPr>
        <w:t>“</w:t>
      </w:r>
      <w:r w:rsidR="00235357">
        <w:t>сис</w:t>
      </w:r>
      <w:r w:rsidR="00E64B29">
        <w:t>теми</w:t>
      </w:r>
      <w:r w:rsidR="00E64B29" w:rsidRPr="00571F58">
        <w:rPr>
          <w:lang w:val="ru-RU"/>
        </w:rPr>
        <w:t>”</w:t>
      </w:r>
      <w:r w:rsidR="00E64B29">
        <w:t xml:space="preserve">; </w:t>
      </w:r>
    </w:p>
    <w:p w14:paraId="64B6ABFB" w14:textId="77777777" w:rsidR="00235357" w:rsidRDefault="00235357" w:rsidP="00AD4598">
      <w:pPr>
        <w:tabs>
          <w:tab w:val="left" w:pos="709"/>
        </w:tabs>
        <w:ind w:firstLine="851"/>
      </w:pPr>
      <w:r>
        <w:t xml:space="preserve">слово </w:t>
      </w:r>
      <w:r w:rsidRPr="00571F58">
        <w:rPr>
          <w:lang w:val="ru-RU"/>
        </w:rPr>
        <w:t>“</w:t>
      </w:r>
      <w:r>
        <w:t>або</w:t>
      </w:r>
      <w:r w:rsidRPr="00571F58">
        <w:rPr>
          <w:lang w:val="ru-RU"/>
        </w:rPr>
        <w:t>”</w:t>
      </w:r>
      <w:r>
        <w:t xml:space="preserve"> замінити словами</w:t>
      </w:r>
      <w:r w:rsidRPr="00571F58">
        <w:rPr>
          <w:lang w:val="ru-RU"/>
        </w:rPr>
        <w:t xml:space="preserve"> “</w:t>
      </w:r>
      <w:r>
        <w:t>та/або</w:t>
      </w:r>
      <w:r w:rsidRPr="00571F58">
        <w:rPr>
          <w:lang w:val="ru-RU"/>
        </w:rPr>
        <w:t>”</w:t>
      </w:r>
      <w:r>
        <w:t>;</w:t>
      </w:r>
    </w:p>
    <w:p w14:paraId="4EF0AD06" w14:textId="3FD84BC5" w:rsidR="00235357" w:rsidRDefault="00235357" w:rsidP="00AD4598">
      <w:pPr>
        <w:tabs>
          <w:tab w:val="left" w:pos="709"/>
        </w:tabs>
        <w:ind w:firstLine="851"/>
      </w:pPr>
      <w:r>
        <w:t xml:space="preserve">у підпункті </w:t>
      </w:r>
      <w:r w:rsidR="00E154AE">
        <w:t>3</w:t>
      </w:r>
      <w:r>
        <w:t>:</w:t>
      </w:r>
    </w:p>
    <w:p w14:paraId="022AAE27" w14:textId="67DFA3CD" w:rsidR="00235357" w:rsidRDefault="00E154AE" w:rsidP="00AD4598">
      <w:pPr>
        <w:tabs>
          <w:tab w:val="left" w:pos="709"/>
        </w:tabs>
        <w:ind w:firstLine="851"/>
      </w:pPr>
      <w:r>
        <w:t xml:space="preserve">підпункт </w:t>
      </w:r>
      <w:r w:rsidR="00235357">
        <w:t xml:space="preserve">після слова </w:t>
      </w:r>
      <w:r w:rsidR="00235357" w:rsidRPr="00571F58">
        <w:rPr>
          <w:lang w:val="ru-RU"/>
        </w:rPr>
        <w:t>“</w:t>
      </w:r>
      <w:r w:rsidR="00235357">
        <w:t>послуг</w:t>
      </w:r>
      <w:r w:rsidR="00235357" w:rsidRPr="00571F58">
        <w:rPr>
          <w:lang w:val="ru-RU"/>
        </w:rPr>
        <w:t xml:space="preserve">” </w:t>
      </w:r>
      <w:r w:rsidR="00235357">
        <w:t xml:space="preserve">доповнити словом </w:t>
      </w:r>
      <w:r w:rsidR="00235357" w:rsidRPr="00571F58">
        <w:rPr>
          <w:lang w:val="ru-RU"/>
        </w:rPr>
        <w:t>“</w:t>
      </w:r>
      <w:r w:rsidR="00235357">
        <w:t>системи</w:t>
      </w:r>
      <w:r w:rsidR="00235357" w:rsidRPr="00571F58">
        <w:rPr>
          <w:lang w:val="ru-RU"/>
        </w:rPr>
        <w:t>”</w:t>
      </w:r>
      <w:r w:rsidR="00235357">
        <w:t>;</w:t>
      </w:r>
    </w:p>
    <w:p w14:paraId="3A67C205" w14:textId="77777777" w:rsidR="00235357" w:rsidRDefault="00235357" w:rsidP="00AD4598">
      <w:pPr>
        <w:tabs>
          <w:tab w:val="left" w:pos="709"/>
        </w:tabs>
        <w:ind w:firstLine="851"/>
      </w:pPr>
      <w:r>
        <w:t xml:space="preserve">слово </w:t>
      </w:r>
      <w:r w:rsidRPr="00571F58">
        <w:rPr>
          <w:lang w:val="ru-RU"/>
        </w:rPr>
        <w:t>“</w:t>
      </w:r>
      <w:r>
        <w:t>або</w:t>
      </w:r>
      <w:r w:rsidRPr="00571F58">
        <w:rPr>
          <w:lang w:val="ru-RU"/>
        </w:rPr>
        <w:t>”</w:t>
      </w:r>
      <w:r>
        <w:t xml:space="preserve"> замінити словами</w:t>
      </w:r>
      <w:r w:rsidRPr="00571F58">
        <w:rPr>
          <w:lang w:val="ru-RU"/>
        </w:rPr>
        <w:t xml:space="preserve"> “</w:t>
      </w:r>
      <w:r>
        <w:t>та/або</w:t>
      </w:r>
      <w:r w:rsidRPr="00571F58">
        <w:rPr>
          <w:lang w:val="ru-RU"/>
        </w:rPr>
        <w:t>”</w:t>
      </w:r>
      <w:r>
        <w:t>;</w:t>
      </w:r>
    </w:p>
    <w:p w14:paraId="398B07F8" w14:textId="105A0849" w:rsidR="004E5CA0" w:rsidRDefault="001D2E41" w:rsidP="00AD4598">
      <w:pPr>
        <w:tabs>
          <w:tab w:val="left" w:pos="709"/>
        </w:tabs>
        <w:ind w:firstLine="851"/>
      </w:pPr>
      <w:r>
        <w:t xml:space="preserve">у першому реченні </w:t>
      </w:r>
      <w:r w:rsidR="004E5CA0">
        <w:t>абзац</w:t>
      </w:r>
      <w:r>
        <w:t>у</w:t>
      </w:r>
      <w:r w:rsidR="004E5CA0">
        <w:t xml:space="preserve"> </w:t>
      </w:r>
      <w:r>
        <w:t xml:space="preserve">п’ятого </w:t>
      </w:r>
      <w:r w:rsidR="004E5CA0">
        <w:t xml:space="preserve">слово </w:t>
      </w:r>
      <w:r w:rsidR="004E5CA0" w:rsidRPr="00571F58">
        <w:rPr>
          <w:lang w:val="ru-RU"/>
        </w:rPr>
        <w:t>“</w:t>
      </w:r>
      <w:r w:rsidR="004E5CA0">
        <w:t>електронної</w:t>
      </w:r>
      <w:r w:rsidR="004E5CA0" w:rsidRPr="00571F58">
        <w:rPr>
          <w:lang w:val="ru-RU"/>
        </w:rPr>
        <w:t>”</w:t>
      </w:r>
      <w:r w:rsidR="004E5CA0">
        <w:t xml:space="preserve"> </w:t>
      </w:r>
      <w:r>
        <w:t>замінити словами</w:t>
      </w:r>
      <w:r w:rsidRPr="00571F58">
        <w:rPr>
          <w:lang w:val="ru-RU"/>
        </w:rPr>
        <w:t xml:space="preserve"> </w:t>
      </w:r>
      <w:r w:rsidR="004E5CA0" w:rsidRPr="00571F58">
        <w:rPr>
          <w:lang w:val="ru-RU"/>
        </w:rPr>
        <w:t>“</w:t>
      </w:r>
      <w:r w:rsidR="004E5CA0">
        <w:t>системи</w:t>
      </w:r>
      <w:r>
        <w:t xml:space="preserve"> електронної</w:t>
      </w:r>
      <w:r w:rsidR="004E5CA0" w:rsidRPr="00571F58">
        <w:rPr>
          <w:lang w:val="ru-RU"/>
        </w:rPr>
        <w:t>”</w:t>
      </w:r>
      <w:r w:rsidR="004E5CA0">
        <w:t>;</w:t>
      </w:r>
    </w:p>
    <w:p w14:paraId="25BD90E2" w14:textId="03C34AB9" w:rsidR="00ED1C38" w:rsidRDefault="00CF7A86" w:rsidP="00AD4598">
      <w:pPr>
        <w:tabs>
          <w:tab w:val="left" w:pos="709"/>
        </w:tabs>
        <w:ind w:firstLine="851"/>
      </w:pPr>
      <w:r>
        <w:t xml:space="preserve">в </w:t>
      </w:r>
      <w:r w:rsidR="00AD4598">
        <w:t>абзац</w:t>
      </w:r>
      <w:r>
        <w:t>і</w:t>
      </w:r>
      <w:r w:rsidR="00AD4598">
        <w:t xml:space="preserve"> </w:t>
      </w:r>
      <w:r>
        <w:t xml:space="preserve">першому </w:t>
      </w:r>
      <w:r w:rsidR="00ED1C38">
        <w:t>пункт</w:t>
      </w:r>
      <w:r w:rsidR="00AD4598">
        <w:t>у</w:t>
      </w:r>
      <w:r w:rsidR="00ED1C38">
        <w:t xml:space="preserve"> 141 слово </w:t>
      </w:r>
      <w:r w:rsidR="00ED1C38" w:rsidRPr="00571F58">
        <w:rPr>
          <w:lang w:val="ru-RU"/>
        </w:rPr>
        <w:t>“</w:t>
      </w:r>
      <w:r w:rsidR="00ED1C38">
        <w:t>електронної</w:t>
      </w:r>
      <w:r w:rsidR="00ED1C38" w:rsidRPr="00571F58">
        <w:rPr>
          <w:lang w:val="ru-RU"/>
        </w:rPr>
        <w:t>”</w:t>
      </w:r>
      <w:r w:rsidR="00ED1C38">
        <w:t xml:space="preserve"> </w:t>
      </w:r>
      <w:r>
        <w:t xml:space="preserve">замінити </w:t>
      </w:r>
      <w:r w:rsidR="00ED1C38">
        <w:t>слов</w:t>
      </w:r>
      <w:r>
        <w:t>ами</w:t>
      </w:r>
      <w:r w:rsidR="00ED1C38" w:rsidRPr="00571F58">
        <w:rPr>
          <w:lang w:val="ru-RU"/>
        </w:rPr>
        <w:t xml:space="preserve"> “</w:t>
      </w:r>
      <w:r w:rsidR="00ED1C38">
        <w:t>системи</w:t>
      </w:r>
      <w:r>
        <w:t xml:space="preserve"> електронної</w:t>
      </w:r>
      <w:r w:rsidR="00ED1C38" w:rsidRPr="00571F58">
        <w:rPr>
          <w:lang w:val="ru-RU"/>
        </w:rPr>
        <w:t>”</w:t>
      </w:r>
      <w:r w:rsidR="00ED1C38">
        <w:t>;</w:t>
      </w:r>
    </w:p>
    <w:p w14:paraId="55E1094B" w14:textId="77777777" w:rsidR="00672B4B" w:rsidRPr="004E5CA0" w:rsidRDefault="00672B4B" w:rsidP="00AD4598">
      <w:pPr>
        <w:tabs>
          <w:tab w:val="left" w:pos="709"/>
        </w:tabs>
        <w:ind w:firstLine="851"/>
      </w:pPr>
    </w:p>
    <w:p w14:paraId="746BF521" w14:textId="77777777" w:rsidR="004541C5" w:rsidRDefault="004541C5" w:rsidP="00AD4598">
      <w:pPr>
        <w:pStyle w:val="af3"/>
        <w:numPr>
          <w:ilvl w:val="0"/>
          <w:numId w:val="5"/>
        </w:numPr>
        <w:tabs>
          <w:tab w:val="left" w:pos="709"/>
        </w:tabs>
        <w:ind w:left="0" w:firstLine="851"/>
      </w:pPr>
      <w:r>
        <w:t>у главі 19:</w:t>
      </w:r>
    </w:p>
    <w:p w14:paraId="6CA7FAAE" w14:textId="77777777" w:rsidR="004541C5" w:rsidRPr="004541C5" w:rsidRDefault="00F278BA" w:rsidP="004541C5">
      <w:pPr>
        <w:pStyle w:val="af3"/>
        <w:ind w:left="709"/>
      </w:pPr>
      <w:r>
        <w:t>назву глави</w:t>
      </w:r>
      <w:r w:rsidR="004541C5" w:rsidRPr="004541C5">
        <w:t xml:space="preserve"> викласти в такій редакції:</w:t>
      </w:r>
    </w:p>
    <w:p w14:paraId="0348E39E" w14:textId="7616490F" w:rsidR="004541C5" w:rsidRDefault="004541C5" w:rsidP="004541C5">
      <w:pPr>
        <w:ind w:left="709"/>
        <w:jc w:val="center"/>
      </w:pPr>
      <w:r w:rsidRPr="0011653F">
        <w:rPr>
          <w:lang w:val="ru-RU"/>
        </w:rPr>
        <w:t>“ 19.</w:t>
      </w:r>
      <w:r w:rsidRPr="00571F58">
        <w:rPr>
          <w:lang w:val="ru-RU"/>
        </w:rPr>
        <w:t xml:space="preserve"> </w:t>
      </w:r>
      <w:proofErr w:type="spellStart"/>
      <w:r w:rsidRPr="00571F58">
        <w:rPr>
          <w:lang w:val="ru-RU"/>
        </w:rPr>
        <w:t>Обслуговування</w:t>
      </w:r>
      <w:proofErr w:type="spellEnd"/>
      <w:r w:rsidRPr="00571F58">
        <w:rPr>
          <w:lang w:val="ru-RU"/>
        </w:rPr>
        <w:t xml:space="preserve"> </w:t>
      </w:r>
      <w:proofErr w:type="spellStart"/>
      <w:r w:rsidRPr="00571F58">
        <w:rPr>
          <w:lang w:val="ru-RU"/>
        </w:rPr>
        <w:t>корпоративних</w:t>
      </w:r>
      <w:proofErr w:type="spellEnd"/>
      <w:r w:rsidRPr="00571F58">
        <w:rPr>
          <w:lang w:val="ru-RU"/>
        </w:rPr>
        <w:t xml:space="preserve"> </w:t>
      </w:r>
      <w:proofErr w:type="spellStart"/>
      <w:r w:rsidRPr="00571F58">
        <w:rPr>
          <w:lang w:val="ru-RU"/>
        </w:rPr>
        <w:t>операцій</w:t>
      </w:r>
      <w:proofErr w:type="spellEnd"/>
      <w:r w:rsidRPr="00571F58">
        <w:rPr>
          <w:lang w:val="ru-RU"/>
        </w:rPr>
        <w:t xml:space="preserve"> </w:t>
      </w:r>
      <w:proofErr w:type="spellStart"/>
      <w:r w:rsidRPr="00571F58">
        <w:rPr>
          <w:lang w:val="ru-RU"/>
        </w:rPr>
        <w:t>емітента</w:t>
      </w:r>
      <w:proofErr w:type="spellEnd"/>
      <w:r w:rsidRPr="00571F58">
        <w:rPr>
          <w:lang w:val="ru-RU"/>
        </w:rPr>
        <w:t xml:space="preserve"> на </w:t>
      </w:r>
      <w:proofErr w:type="spellStart"/>
      <w:r w:rsidRPr="00571F58">
        <w:rPr>
          <w:lang w:val="ru-RU"/>
        </w:rPr>
        <w:t>рахунках</w:t>
      </w:r>
      <w:proofErr w:type="spellEnd"/>
      <w:r w:rsidRPr="00571F58">
        <w:rPr>
          <w:lang w:val="ru-RU"/>
        </w:rPr>
        <w:t xml:space="preserve"> у </w:t>
      </w:r>
      <w:proofErr w:type="spellStart"/>
      <w:r w:rsidRPr="00571F58">
        <w:rPr>
          <w:lang w:val="ru-RU"/>
        </w:rPr>
        <w:t>цінних</w:t>
      </w:r>
      <w:proofErr w:type="spellEnd"/>
      <w:r w:rsidRPr="00571F58">
        <w:rPr>
          <w:lang w:val="ru-RU"/>
        </w:rPr>
        <w:t xml:space="preserve"> </w:t>
      </w:r>
      <w:proofErr w:type="spellStart"/>
      <w:r w:rsidRPr="00571F58">
        <w:rPr>
          <w:lang w:val="ru-RU"/>
        </w:rPr>
        <w:t>паперах</w:t>
      </w:r>
      <w:proofErr w:type="spellEnd"/>
      <w:r w:rsidRPr="00571F58">
        <w:rPr>
          <w:lang w:val="ru-RU"/>
        </w:rPr>
        <w:t xml:space="preserve"> </w:t>
      </w:r>
      <w:proofErr w:type="spellStart"/>
      <w:r w:rsidRPr="00571F58">
        <w:rPr>
          <w:lang w:val="ru-RU"/>
        </w:rPr>
        <w:t>депозитарних</w:t>
      </w:r>
      <w:proofErr w:type="spellEnd"/>
      <w:r w:rsidRPr="00571F58">
        <w:rPr>
          <w:lang w:val="ru-RU"/>
        </w:rPr>
        <w:t xml:space="preserve"> </w:t>
      </w:r>
      <w:proofErr w:type="spellStart"/>
      <w:r w:rsidRPr="00571F58">
        <w:rPr>
          <w:lang w:val="ru-RU"/>
        </w:rPr>
        <w:t>установ</w:t>
      </w:r>
      <w:proofErr w:type="spellEnd"/>
      <w:r w:rsidRPr="00571F58">
        <w:rPr>
          <w:lang w:val="ru-RU"/>
        </w:rPr>
        <w:t xml:space="preserve"> </w:t>
      </w:r>
      <w:proofErr w:type="spellStart"/>
      <w:r w:rsidRPr="00571F58">
        <w:rPr>
          <w:lang w:val="ru-RU"/>
        </w:rPr>
        <w:t>щодо</w:t>
      </w:r>
      <w:proofErr w:type="spellEnd"/>
      <w:r w:rsidRPr="00571F58">
        <w:rPr>
          <w:lang w:val="ru-RU"/>
        </w:rPr>
        <w:t xml:space="preserve"> </w:t>
      </w:r>
      <w:proofErr w:type="spellStart"/>
      <w:r w:rsidRPr="00571F58">
        <w:rPr>
          <w:lang w:val="ru-RU"/>
        </w:rPr>
        <w:t>розміщення</w:t>
      </w:r>
      <w:proofErr w:type="spellEnd"/>
      <w:r w:rsidRPr="00571F58">
        <w:rPr>
          <w:lang w:val="ru-RU"/>
        </w:rPr>
        <w:t xml:space="preserve"> ОВДП/</w:t>
      </w:r>
      <w:proofErr w:type="spellStart"/>
      <w:r w:rsidRPr="00571F58">
        <w:rPr>
          <w:lang w:val="ru-RU"/>
        </w:rPr>
        <w:t>розміщення</w:t>
      </w:r>
      <w:proofErr w:type="spellEnd"/>
      <w:r w:rsidRPr="00571F58">
        <w:rPr>
          <w:lang w:val="ru-RU"/>
        </w:rPr>
        <w:t xml:space="preserve"> ОВДП </w:t>
      </w:r>
      <w:proofErr w:type="spellStart"/>
      <w:r w:rsidRPr="00571F58">
        <w:rPr>
          <w:lang w:val="ru-RU"/>
        </w:rPr>
        <w:t>під</w:t>
      </w:r>
      <w:proofErr w:type="spellEnd"/>
      <w:r w:rsidRPr="00571F58">
        <w:rPr>
          <w:lang w:val="ru-RU"/>
        </w:rPr>
        <w:t xml:space="preserve"> час </w:t>
      </w:r>
      <w:proofErr w:type="spellStart"/>
      <w:r w:rsidRPr="00571F58">
        <w:rPr>
          <w:lang w:val="ru-RU"/>
        </w:rPr>
        <w:t>проведення</w:t>
      </w:r>
      <w:proofErr w:type="spellEnd"/>
      <w:r w:rsidRPr="00571F58">
        <w:rPr>
          <w:lang w:val="ru-RU"/>
        </w:rPr>
        <w:t xml:space="preserve"> </w:t>
      </w:r>
      <w:proofErr w:type="spellStart"/>
      <w:r w:rsidRPr="00571F58">
        <w:rPr>
          <w:lang w:val="ru-RU"/>
        </w:rPr>
        <w:t>аукціонів</w:t>
      </w:r>
      <w:proofErr w:type="spellEnd"/>
      <w:r w:rsidRPr="00571F58">
        <w:rPr>
          <w:lang w:val="ru-RU"/>
        </w:rPr>
        <w:t xml:space="preserve"> з </w:t>
      </w:r>
      <w:proofErr w:type="spellStart"/>
      <w:r w:rsidRPr="00571F58">
        <w:rPr>
          <w:lang w:val="ru-RU"/>
        </w:rPr>
        <w:t>обміну</w:t>
      </w:r>
      <w:proofErr w:type="spellEnd"/>
      <w:r w:rsidRPr="00571F58">
        <w:rPr>
          <w:lang w:val="ru-RU"/>
        </w:rPr>
        <w:t xml:space="preserve"> ОВДП”</w:t>
      </w:r>
      <w:r>
        <w:t>;</w:t>
      </w:r>
    </w:p>
    <w:p w14:paraId="1E50E85C" w14:textId="77777777" w:rsidR="004541C5" w:rsidRPr="00511813" w:rsidRDefault="00F278BA" w:rsidP="00511813">
      <w:pPr>
        <w:ind w:firstLine="709"/>
      </w:pPr>
      <w:r w:rsidRPr="00511813">
        <w:t>у пункті 160:</w:t>
      </w:r>
    </w:p>
    <w:p w14:paraId="20EEE19A" w14:textId="28F9DDAF" w:rsidR="00F278BA" w:rsidRPr="00511813" w:rsidRDefault="00F278BA" w:rsidP="00511813">
      <w:pPr>
        <w:ind w:firstLine="709"/>
      </w:pPr>
      <w:r w:rsidRPr="00511813">
        <w:t xml:space="preserve">абзац </w:t>
      </w:r>
      <w:r w:rsidR="00D44FDC" w:rsidRPr="00511813">
        <w:t>перш</w:t>
      </w:r>
      <w:r w:rsidR="00D44FDC">
        <w:t>ий викласти в такій редакції</w:t>
      </w:r>
      <w:r w:rsidRPr="00511813">
        <w:t>:</w:t>
      </w:r>
    </w:p>
    <w:p w14:paraId="5D0FD7E1" w14:textId="682A55CC" w:rsidR="00702880" w:rsidRPr="00511813" w:rsidRDefault="002162DA" w:rsidP="00511813">
      <w:pPr>
        <w:ind w:firstLine="709"/>
      </w:pPr>
      <w:r>
        <w:t>«</w:t>
      </w:r>
      <w:r w:rsidRPr="002162DA">
        <w:t xml:space="preserve">160. Операції зарахування ОВДП на власні рахунки в цінних паперах депозитарних установ – учасників розміщення/учасників обміну ОВДП та/або на агреговані, та/або </w:t>
      </w:r>
      <w:proofErr w:type="spellStart"/>
      <w:r w:rsidRPr="002162DA">
        <w:t>сегреговані</w:t>
      </w:r>
      <w:proofErr w:type="spellEnd"/>
      <w:r w:rsidRPr="002162DA">
        <w:t xml:space="preserve"> рахунки, що відкриті для обліку цінних паперів депонентів/номінальних утримувачів у межах рахунків у цінних паперах депозитарних установ, є безумовними операціями з управління рахунком у цінних паперах, а розрахунки за цими операціями відбуваються з використанням принципів “оплата проти поставки цінних паперів” та “поставка цінних паперів проти поставки цінних паперів”.</w:t>
      </w:r>
      <w:r w:rsidR="00F37DAF" w:rsidRPr="00511813">
        <w:t>»;</w:t>
      </w:r>
    </w:p>
    <w:p w14:paraId="43D9BE2F" w14:textId="77777777" w:rsidR="00B759CB" w:rsidRPr="00511813" w:rsidRDefault="00B759CB" w:rsidP="00511813">
      <w:pPr>
        <w:ind w:firstLine="709"/>
      </w:pPr>
      <w:r w:rsidRPr="00511813">
        <w:t>в абзаці другому слова та літери “на дату розміщення зараховує ОВДП” замінити словами та літерами “, заявок на придбання облігацій на аукціоні з обміну ОВДП на дату розміщення зараховує ОВДП, що розміщуються,”;</w:t>
      </w:r>
    </w:p>
    <w:p w14:paraId="1361FD0D" w14:textId="3B2A6D65" w:rsidR="00684884" w:rsidRPr="00511813" w:rsidRDefault="00E154AE" w:rsidP="00511813">
      <w:pPr>
        <w:ind w:firstLine="709"/>
      </w:pPr>
      <w:r>
        <w:t xml:space="preserve">пункт </w:t>
      </w:r>
      <w:r w:rsidR="00684884" w:rsidRPr="00511813">
        <w:t xml:space="preserve">після абзацу другого доповнити  </w:t>
      </w:r>
      <w:r w:rsidR="00F9222B">
        <w:t>трьома</w:t>
      </w:r>
      <w:r w:rsidR="00684884" w:rsidRPr="00511813">
        <w:t xml:space="preserve"> новими абзацами </w:t>
      </w:r>
      <w:r>
        <w:t>третім-п</w:t>
      </w:r>
      <w:r w:rsidRPr="006F11C2">
        <w:rPr>
          <w:lang w:val="ru-RU"/>
        </w:rPr>
        <w:t>’</w:t>
      </w:r>
      <w:proofErr w:type="spellStart"/>
      <w:r>
        <w:t>ятим</w:t>
      </w:r>
      <w:proofErr w:type="spellEnd"/>
      <w:r>
        <w:t xml:space="preserve"> </w:t>
      </w:r>
      <w:r w:rsidR="00684884" w:rsidRPr="00511813">
        <w:t>такого змісту:</w:t>
      </w:r>
    </w:p>
    <w:p w14:paraId="31358562" w14:textId="77777777" w:rsidR="00F9222B" w:rsidRDefault="00684884" w:rsidP="00F9222B">
      <w:pPr>
        <w:ind w:firstLine="709"/>
      </w:pPr>
      <w:r w:rsidRPr="00511813">
        <w:t>“</w:t>
      </w:r>
      <w:r w:rsidR="00F9222B">
        <w:t>Депозитарій Національного банку після завершення дій, зазначених у абзацах першому, другому пункту 160 глави 19 розділу ІІІ цього Положення, надає можливість депозитарним установам-учасникам обміну ОВДП сформувати засобами системи автоматизації депозитарію Національного банку, відповідно до власних та клієнтських задоволених заявок на придбання облігацій на аукціоні з обміну ОВДП, інформацію про облігації, наявність яких має бути забезпечена на рахунках в цінних паперах для їх подальшого зарахування на рахунок у цінних паперах емітента за результатами аукціону з обміну облігацій.</w:t>
      </w:r>
    </w:p>
    <w:p w14:paraId="6D4ADA23" w14:textId="77777777" w:rsidR="00F9222B" w:rsidRDefault="00F9222B" w:rsidP="00F9222B">
      <w:pPr>
        <w:ind w:firstLine="709"/>
      </w:pPr>
      <w:r>
        <w:t xml:space="preserve">Депозитарна установа-учасник обміну ОВДП для забезпечення здійснення розрахунків за результатами розміщення ОВДП під час аукціону з обміну ОВДП на кінець операційного   дня, що передує даті платежу, на підставі сформованої інформації здійснює/забезпечує блокування ОВДП в обігу на власному рахунку в цінних паперах та/або на агрегованих, та/або </w:t>
      </w:r>
      <w:proofErr w:type="spellStart"/>
      <w:r>
        <w:t>сегрегованих</w:t>
      </w:r>
      <w:proofErr w:type="spellEnd"/>
      <w:r>
        <w:t xml:space="preserve"> рахунках, що відкриті для обліку цінних паперів депонентів/номінальних утримувачів у межах рахунку в цінних паперах депозитарної установи.</w:t>
      </w:r>
    </w:p>
    <w:p w14:paraId="6B9F733D" w14:textId="77777777" w:rsidR="00684884" w:rsidRPr="00511813" w:rsidRDefault="00F9222B" w:rsidP="00F9222B">
      <w:pPr>
        <w:ind w:firstLine="709"/>
      </w:pPr>
      <w:r>
        <w:t>Депозитарій Національного банку в день, що є датою платежу за ОВДП, що розміщуються під час аукціону з обміну ОВДП, здійснює звірку наданої ЕТС інформації щодо ОВДП  в обігу з даними власної системи депозитарного обліку та перевіряє можливість коректного проведення розрахунків за результатами розміщення під час аукціону з обміну ОВДП.</w:t>
      </w:r>
      <w:r w:rsidR="00684884" w:rsidRPr="00511813">
        <w:t>”.</w:t>
      </w:r>
    </w:p>
    <w:p w14:paraId="5F14D52F" w14:textId="77777777" w:rsidR="00684884" w:rsidRDefault="00684884" w:rsidP="00511813">
      <w:pPr>
        <w:ind w:firstLine="709"/>
      </w:pPr>
      <w:r w:rsidRPr="00511813">
        <w:t xml:space="preserve">У зв’язку з цим абзац третій уважати абзацом </w:t>
      </w:r>
      <w:r w:rsidR="00F9222B">
        <w:t>шостим</w:t>
      </w:r>
      <w:r w:rsidR="00291A03" w:rsidRPr="00511813">
        <w:t>;</w:t>
      </w:r>
    </w:p>
    <w:p w14:paraId="21230E8D" w14:textId="65B37FF3" w:rsidR="00C40C3D" w:rsidRDefault="00FD179B" w:rsidP="00511813">
      <w:pPr>
        <w:ind w:firstLine="709"/>
      </w:pPr>
      <w:r>
        <w:t xml:space="preserve">абзац </w:t>
      </w:r>
      <w:r w:rsidR="00C40C3D">
        <w:t>шостий викласти в такій редакції:</w:t>
      </w:r>
    </w:p>
    <w:p w14:paraId="3D4346D0" w14:textId="1DD1FEDC" w:rsidR="00FD179B" w:rsidRDefault="00C40C3D" w:rsidP="00511813">
      <w:pPr>
        <w:ind w:firstLine="709"/>
      </w:pPr>
      <w:r w:rsidRPr="006F11C2">
        <w:t>“</w:t>
      </w:r>
      <w:r w:rsidRPr="00C40C3D">
        <w:t>Депозитарій Національного банку, якщо під час перевірки інформації в заявках учасників розміщення/ заявках на придбання облігацій на аукціоні з обміну ОВДП, отриманої від ЕТС, виявлено помилки в реквізитах депонента, який є клієнтом учасника розміщення/учасника обміну ОВДП, зараховує ОВДП на власний рахунок такого учасника розміщення/учасника обміну ОВДП в порядку виконання безумовної операції.</w:t>
      </w:r>
      <w:r w:rsidR="00FD179B" w:rsidRPr="00571F58">
        <w:t>”</w:t>
      </w:r>
      <w:r w:rsidR="00FD179B">
        <w:t>;</w:t>
      </w:r>
    </w:p>
    <w:p w14:paraId="59007220" w14:textId="1C2AF60C" w:rsidR="00C93AB1" w:rsidRDefault="00C93AB1" w:rsidP="00511813">
      <w:pPr>
        <w:ind w:firstLine="709"/>
      </w:pPr>
      <w:r>
        <w:t>пункт</w:t>
      </w:r>
      <w:r w:rsidR="00373CAE">
        <w:t xml:space="preserve"> доповнити</w:t>
      </w:r>
      <w:r>
        <w:t xml:space="preserve"> </w:t>
      </w:r>
      <w:r w:rsidR="001071C7">
        <w:t>новим абзацом такого змісту:</w:t>
      </w:r>
    </w:p>
    <w:p w14:paraId="01272A4B" w14:textId="713795FF" w:rsidR="001071C7" w:rsidRPr="000A7771" w:rsidRDefault="001071C7" w:rsidP="00A6628D">
      <w:pPr>
        <w:ind w:firstLine="709"/>
      </w:pPr>
      <w:r w:rsidRPr="000A7771">
        <w:t>“</w:t>
      </w:r>
      <w:r w:rsidR="003F78A8" w:rsidRPr="003F78A8">
        <w:t xml:space="preserve">Операції переказу ОВДП, що розміщуються, на балансові рахунки для обліку ОВДП, не обтяжених зобов'язаннями, а також операції списання ОВДП в обігу з власних рахунків в цінних паперах депозитарних установ та/або агрегованих, та/або </w:t>
      </w:r>
      <w:proofErr w:type="spellStart"/>
      <w:r w:rsidR="003F78A8" w:rsidRPr="003F78A8">
        <w:t>сегрегованих</w:t>
      </w:r>
      <w:proofErr w:type="spellEnd"/>
      <w:r w:rsidR="003F78A8" w:rsidRPr="003F78A8">
        <w:t xml:space="preserve"> рахунків, що відкриті для обліку цінних паперів депонентів/номінальних утримувачів у межах рахунків у цінних паперах депозитарних установ на рахунок в цінних паперах емітента та операції розблокування ОВДП в обігу у випадку, якщо учасник аукціону з обміну ОВДП не здійснив розрахунки за ОВДП, що розміщуються під час аукціону з обміну ОВДП</w:t>
      </w:r>
      <w:r w:rsidR="00821E46">
        <w:t>,</w:t>
      </w:r>
      <w:r w:rsidR="003F78A8" w:rsidRPr="003F78A8">
        <w:t xml:space="preserve"> до дати, визначеної </w:t>
      </w:r>
      <w:r w:rsidR="00296ED7">
        <w:t xml:space="preserve">в </w:t>
      </w:r>
      <w:r w:rsidR="00296ED7" w:rsidRPr="00296ED7">
        <w:t>Положенн</w:t>
      </w:r>
      <w:r w:rsidR="00296ED7">
        <w:t>і</w:t>
      </w:r>
      <w:r w:rsidR="00296ED7" w:rsidRPr="00296ED7">
        <w:t xml:space="preserve"> </w:t>
      </w:r>
      <w:r w:rsidR="006D7697">
        <w:t>№ 248</w:t>
      </w:r>
      <w:r w:rsidR="003F78A8" w:rsidRPr="003F78A8">
        <w:t>, здійснюються Національним банком в порядку виконання безумовної операції.</w:t>
      </w:r>
      <w:r w:rsidRPr="000A7771">
        <w:t>”;</w:t>
      </w:r>
    </w:p>
    <w:p w14:paraId="568E2B9A" w14:textId="77777777" w:rsidR="00500B4B" w:rsidRPr="000A7771" w:rsidRDefault="00500B4B" w:rsidP="000A7771">
      <w:pPr>
        <w:ind w:firstLine="709"/>
      </w:pPr>
      <w:r w:rsidRPr="000A7771">
        <w:t>у пункті 160</w:t>
      </w:r>
      <w:r w:rsidRPr="000A7771">
        <w:rPr>
          <w:vertAlign w:val="superscript"/>
        </w:rPr>
        <w:t>1</w:t>
      </w:r>
      <w:r w:rsidRPr="000A7771">
        <w:t>:</w:t>
      </w:r>
    </w:p>
    <w:p w14:paraId="272BA12B" w14:textId="77777777" w:rsidR="00500B4B" w:rsidRPr="000A7771" w:rsidRDefault="005D4B6D" w:rsidP="000A7771">
      <w:pPr>
        <w:ind w:firstLine="709"/>
      </w:pPr>
      <w:r w:rsidRPr="000A7771">
        <w:t>абзац перший викласти у такій редакції:</w:t>
      </w:r>
    </w:p>
    <w:p w14:paraId="4FD2B4FA" w14:textId="4E2C1E14" w:rsidR="005D4B6D" w:rsidRPr="000A7771" w:rsidRDefault="005D4B6D" w:rsidP="000A7771">
      <w:pPr>
        <w:ind w:firstLine="709"/>
      </w:pPr>
      <w:r w:rsidRPr="000A7771">
        <w:t>“</w:t>
      </w:r>
      <w:r w:rsidR="00EF0998" w:rsidRPr="000A7771">
        <w:t>160</w:t>
      </w:r>
      <w:r w:rsidR="00EF0998" w:rsidRPr="000A7771">
        <w:rPr>
          <w:vertAlign w:val="superscript"/>
        </w:rPr>
        <w:t>1</w:t>
      </w:r>
      <w:r w:rsidR="00EF0998" w:rsidRPr="006F11C2">
        <w:t xml:space="preserve">. </w:t>
      </w:r>
      <w:r w:rsidRPr="000A7771">
        <w:t xml:space="preserve">Депозитарна установа - учасник розміщення/учасник аукціону з обміну ОВДП в разі несвоєчасного перерахування чи неперерахування коштів та/або незабезпечення наявності ОВДП в обігу депонентом/номінальним утримувачем для здійснення розрахунків за ОВДП  під час розміщення/аукціону з обміну ОВДП або в інших випадках, коли перерахування коштів та/або переказ ОВДП в обігу депонентом/номінальним утримувачем неможливе, має право подати депозитарію Національного банку розпорядження на безумовну депозитарну операцію переказу ОВДП, що розмішуються та заблоковані для оплати, з агрегованого та/або </w:t>
      </w:r>
      <w:proofErr w:type="spellStart"/>
      <w:r w:rsidRPr="000A7771">
        <w:t>сегрегованого</w:t>
      </w:r>
      <w:proofErr w:type="spellEnd"/>
      <w:r w:rsidRPr="000A7771">
        <w:t xml:space="preserve"> рахунку, відкритого для обліку цінних паперів депонента/клієнтів, клієнтів </w:t>
      </w:r>
      <w:proofErr w:type="spellStart"/>
      <w:r w:rsidRPr="000A7771">
        <w:t>клієнтів</w:t>
      </w:r>
      <w:proofErr w:type="spellEnd"/>
      <w:r w:rsidRPr="000A7771">
        <w:t xml:space="preserve"> номінального утримувача в межах рахунку в цінних паперах депозитарної установи, на власний рахунок у цінних паперах депозитарної установи.”;</w:t>
      </w:r>
    </w:p>
    <w:p w14:paraId="6175CA29" w14:textId="77777777" w:rsidR="005D4B6D" w:rsidRPr="000A7771" w:rsidRDefault="005D4B6D" w:rsidP="000A7771">
      <w:pPr>
        <w:ind w:firstLine="709"/>
      </w:pPr>
      <w:r w:rsidRPr="000A7771">
        <w:t>абзац другий після літер “ОВДП” доповнити словами та літерами “або в день, що передує дню здійснення розрахунків за результатами  аукціону з обміну ОВДП”</w:t>
      </w:r>
      <w:r w:rsidR="00DA1772" w:rsidRPr="000A7771">
        <w:t>;</w:t>
      </w:r>
    </w:p>
    <w:p w14:paraId="2B16D905" w14:textId="15A24040" w:rsidR="00FA0541" w:rsidRDefault="00DA1772" w:rsidP="000A7771">
      <w:pPr>
        <w:ind w:firstLine="709"/>
      </w:pPr>
      <w:r w:rsidRPr="000A7771">
        <w:t xml:space="preserve">підпункт </w:t>
      </w:r>
      <w:r w:rsidR="00FA0541">
        <w:t>2 викласти в такій редакц</w:t>
      </w:r>
      <w:r w:rsidR="00005A6E">
        <w:t>і</w:t>
      </w:r>
      <w:r w:rsidR="00FA0541">
        <w:t>ї:</w:t>
      </w:r>
    </w:p>
    <w:p w14:paraId="7ED983F2" w14:textId="32E098D7" w:rsidR="00DA1772" w:rsidRPr="000A7771" w:rsidRDefault="00FA0541" w:rsidP="000A7771">
      <w:pPr>
        <w:ind w:firstLine="709"/>
      </w:pPr>
      <w:r w:rsidRPr="00FA0541">
        <w:t xml:space="preserve">2) здійснює перерозподіл кількості ОВДП між власним рахунком у цінних паперах депозитарної установи та агрегованими та/або </w:t>
      </w:r>
      <w:proofErr w:type="spellStart"/>
      <w:r w:rsidRPr="00FA0541">
        <w:t>сегрегованими</w:t>
      </w:r>
      <w:proofErr w:type="spellEnd"/>
      <w:r w:rsidRPr="00FA0541">
        <w:t xml:space="preserve"> рахунками, що відкриті в межах рахунку в цінних паперах депозитарної установи для обліку цінних паперів депонентів/клієнтів, клієнтів </w:t>
      </w:r>
      <w:proofErr w:type="spellStart"/>
      <w:r w:rsidRPr="00FA0541">
        <w:t>клієнтів</w:t>
      </w:r>
      <w:proofErr w:type="spellEnd"/>
      <w:r w:rsidRPr="00FA0541">
        <w:t xml:space="preserve"> номінальних утримувачів, які своєчасно не перерахували кошти за ОВДП та/або не забезпечили наявність на рахунку в цінних паперах необхідної кількості ОВДП в обігу, та ініціює безумовні депозитарні операції щодо переказу ОВДП, що розміщуються,  за результатами такого перерозподілу.</w:t>
      </w:r>
      <w:r w:rsidR="00DA1772" w:rsidRPr="000A7771">
        <w:t>”;</w:t>
      </w:r>
    </w:p>
    <w:p w14:paraId="79A7E12F" w14:textId="77777777" w:rsidR="008174BA" w:rsidRPr="000A7771" w:rsidRDefault="008174BA" w:rsidP="000A7771">
      <w:pPr>
        <w:ind w:firstLine="709"/>
      </w:pPr>
      <w:r w:rsidRPr="000A7771">
        <w:t>абзац п’ятий після літер та слова “ОВДП, що” доповнити словами “розміщуються та”;</w:t>
      </w:r>
    </w:p>
    <w:p w14:paraId="3876B518" w14:textId="77777777" w:rsidR="008174BA" w:rsidRPr="000A7771" w:rsidRDefault="008174BA" w:rsidP="000A7771">
      <w:pPr>
        <w:ind w:firstLine="709"/>
      </w:pPr>
      <w:r w:rsidRPr="000A7771">
        <w:t>абзац шостий доповнити словами та літерами “та, у випадку розміщення ОВДП під час аукціону з обміну ОВДП, переказу ОВДП в обігу на рахунок у цінних паперах емітента”;</w:t>
      </w:r>
    </w:p>
    <w:p w14:paraId="3D0E3EA6" w14:textId="77777777" w:rsidR="001019BE" w:rsidRPr="000A7771" w:rsidRDefault="001019BE" w:rsidP="000A7771">
      <w:pPr>
        <w:ind w:firstLine="709"/>
      </w:pPr>
      <w:r w:rsidRPr="000A7771">
        <w:t>у пункті 161:</w:t>
      </w:r>
    </w:p>
    <w:p w14:paraId="6686337B" w14:textId="77777777" w:rsidR="001019BE" w:rsidRPr="000A7771" w:rsidRDefault="001019BE" w:rsidP="000A7771">
      <w:pPr>
        <w:ind w:firstLine="709"/>
      </w:pPr>
      <w:r w:rsidRPr="000A7771">
        <w:t>абзац перший після слова та літер “Положення, ОВДП” доповнити словами “, що розміщуються,”;</w:t>
      </w:r>
    </w:p>
    <w:p w14:paraId="4571D2F8" w14:textId="734CE5F2" w:rsidR="001019BE" w:rsidRDefault="001019BE" w:rsidP="000A7771">
      <w:pPr>
        <w:ind w:firstLine="709"/>
      </w:pPr>
      <w:r w:rsidRPr="000A7771">
        <w:t>абзац другий після літер “ОВДП” доповнити словами “, що розміщуються,”;</w:t>
      </w:r>
    </w:p>
    <w:p w14:paraId="681E7291" w14:textId="77777777" w:rsidR="00D372F1" w:rsidRPr="000A7771" w:rsidRDefault="00D372F1" w:rsidP="000A7771">
      <w:pPr>
        <w:ind w:firstLine="709"/>
      </w:pPr>
    </w:p>
    <w:p w14:paraId="3AB75367" w14:textId="77777777" w:rsidR="001019BE" w:rsidRPr="000A7771" w:rsidRDefault="001019BE" w:rsidP="000A7771">
      <w:pPr>
        <w:pStyle w:val="af3"/>
        <w:numPr>
          <w:ilvl w:val="0"/>
          <w:numId w:val="5"/>
        </w:numPr>
        <w:ind w:left="0" w:firstLine="709"/>
      </w:pPr>
      <w:r w:rsidRPr="000A7771">
        <w:t>у главі 21:</w:t>
      </w:r>
    </w:p>
    <w:p w14:paraId="2607720F" w14:textId="6D544F0A" w:rsidR="001019BE" w:rsidRPr="000A7771" w:rsidRDefault="00EE1937" w:rsidP="000A7771">
      <w:pPr>
        <w:ind w:firstLine="709"/>
      </w:pPr>
      <w:r w:rsidRPr="000A7771">
        <w:t xml:space="preserve">у підпункті </w:t>
      </w:r>
      <w:r w:rsidR="00373CAE">
        <w:t>2</w:t>
      </w:r>
      <w:r w:rsidR="00C800B3">
        <w:t xml:space="preserve"> пункту</w:t>
      </w:r>
      <w:r w:rsidRPr="000A7771">
        <w:t xml:space="preserve"> 172</w:t>
      </w:r>
      <w:r w:rsidR="00CA6FA6" w:rsidRPr="000A7771">
        <w:t xml:space="preserve"> слова “а також для депозитарних установ, що не є первинними дилерами”</w:t>
      </w:r>
      <w:r w:rsidRPr="000A7771">
        <w:t xml:space="preserve"> </w:t>
      </w:r>
      <w:r w:rsidR="00CA6FA6" w:rsidRPr="000A7771">
        <w:t>замінити словами та літерами “для депозитарних установ, що не є первинними дилерами, а також якщо ОВДП розміщуються під час аукціону з обміну ОВДП”;</w:t>
      </w:r>
    </w:p>
    <w:p w14:paraId="519381C1" w14:textId="1321C6AD" w:rsidR="00A829B5" w:rsidRPr="000A7771" w:rsidRDefault="00A829B5">
      <w:pPr>
        <w:ind w:firstLine="709"/>
      </w:pPr>
      <w:r w:rsidRPr="000A7771">
        <w:t>у пункті 173</w:t>
      </w:r>
      <w:r w:rsidR="002672DD">
        <w:t xml:space="preserve"> </w:t>
      </w:r>
      <w:r w:rsidRPr="000A7771">
        <w:t>слов</w:t>
      </w:r>
      <w:r w:rsidR="002672DD">
        <w:t xml:space="preserve">а </w:t>
      </w:r>
      <w:r w:rsidRPr="000A7771">
        <w:t>“</w:t>
      </w:r>
      <w:r w:rsidR="00D372F1">
        <w:t>Р</w:t>
      </w:r>
      <w:r w:rsidRPr="000A7771">
        <w:t>озрахунки”</w:t>
      </w:r>
      <w:r w:rsidR="002672DD">
        <w:t xml:space="preserve">, </w:t>
      </w:r>
      <w:r w:rsidRPr="000A7771">
        <w:t xml:space="preserve"> </w:t>
      </w:r>
      <w:r w:rsidR="002672DD" w:rsidRPr="000A7771">
        <w:t xml:space="preserve">“випуску” </w:t>
      </w:r>
      <w:r w:rsidR="00D372F1">
        <w:t>замінити</w:t>
      </w:r>
      <w:r w:rsidR="00D372F1" w:rsidRPr="000A7771">
        <w:t xml:space="preserve"> </w:t>
      </w:r>
      <w:r w:rsidR="002672DD">
        <w:t xml:space="preserve">відповідно </w:t>
      </w:r>
      <w:r w:rsidR="00D372F1" w:rsidRPr="000A7771">
        <w:t>слов</w:t>
      </w:r>
      <w:r w:rsidR="00D372F1">
        <w:t>ами</w:t>
      </w:r>
      <w:r w:rsidR="00D372F1" w:rsidRPr="000A7771">
        <w:t xml:space="preserve"> </w:t>
      </w:r>
      <w:r w:rsidRPr="000A7771">
        <w:t>“</w:t>
      </w:r>
      <w:r w:rsidR="00D372F1">
        <w:t>Г</w:t>
      </w:r>
      <w:r w:rsidR="00D372F1" w:rsidRPr="000A7771">
        <w:t>рошові</w:t>
      </w:r>
      <w:r w:rsidR="00D372F1">
        <w:t xml:space="preserve"> розрахунки</w:t>
      </w:r>
      <w:r w:rsidRPr="000A7771">
        <w:t>”</w:t>
      </w:r>
      <w:r w:rsidR="002672DD">
        <w:t xml:space="preserve">, </w:t>
      </w:r>
      <w:r w:rsidRPr="000A7771">
        <w:t>“розміщення”;</w:t>
      </w:r>
    </w:p>
    <w:p w14:paraId="22E5B370" w14:textId="77777777" w:rsidR="00A829B5" w:rsidRPr="000A7771" w:rsidRDefault="00A829B5" w:rsidP="000A7771">
      <w:pPr>
        <w:ind w:firstLine="709"/>
      </w:pPr>
      <w:r w:rsidRPr="000A7771">
        <w:t>пункт 175 доповнити словами “, відомості про здійснення розрахунків за результат</w:t>
      </w:r>
      <w:r w:rsidR="0003430F">
        <w:t>ами аукціону з обміну облігацій</w:t>
      </w:r>
      <w:r w:rsidRPr="000A7771">
        <w:t>”;</w:t>
      </w:r>
    </w:p>
    <w:p w14:paraId="61219FDC" w14:textId="77777777" w:rsidR="00A829B5" w:rsidRPr="000A7771" w:rsidRDefault="00A829B5" w:rsidP="000A7771">
      <w:pPr>
        <w:ind w:firstLine="709"/>
      </w:pPr>
      <w:r w:rsidRPr="000A7771">
        <w:t>у пункті 179:</w:t>
      </w:r>
    </w:p>
    <w:p w14:paraId="61FEA265" w14:textId="77777777" w:rsidR="00A829B5" w:rsidRPr="000A7771" w:rsidRDefault="00542440" w:rsidP="000A7771">
      <w:pPr>
        <w:ind w:firstLine="709"/>
      </w:pPr>
      <w:r w:rsidRPr="000A7771">
        <w:t>абзац перший після літер “ОВДП” доповнити словами та літерами “(крім розміщення під час аукціону з обміну ОВДП)”;</w:t>
      </w:r>
    </w:p>
    <w:p w14:paraId="00A8F6FB" w14:textId="7CB8D18F" w:rsidR="00542440" w:rsidRPr="000A7771" w:rsidRDefault="00C800B3" w:rsidP="000A7771">
      <w:pPr>
        <w:ind w:firstLine="709"/>
      </w:pPr>
      <w:r>
        <w:t xml:space="preserve">у </w:t>
      </w:r>
      <w:r w:rsidR="00542440" w:rsidRPr="000A7771">
        <w:t>підпункт</w:t>
      </w:r>
      <w:r>
        <w:t>і</w:t>
      </w:r>
      <w:r w:rsidR="00542440" w:rsidRPr="000A7771">
        <w:t xml:space="preserve"> </w:t>
      </w:r>
      <w:r>
        <w:t>1</w:t>
      </w:r>
      <w:r w:rsidR="00542440" w:rsidRPr="000A7771">
        <w:t xml:space="preserve"> слово “контролює” </w:t>
      </w:r>
      <w:r w:rsidR="00026CCB">
        <w:t>замінити</w:t>
      </w:r>
      <w:r w:rsidR="00026CCB" w:rsidRPr="000A7771">
        <w:t xml:space="preserve"> </w:t>
      </w:r>
      <w:r w:rsidR="00542440" w:rsidRPr="000A7771">
        <w:t>словами та літерами “за операціями з розміщення ОВДП, в яких депозитарна установа-первинний дилер виконує функцію брокера для своїх депонентів/клієнтів,</w:t>
      </w:r>
      <w:r w:rsidR="00026CCB">
        <w:t xml:space="preserve"> контролює</w:t>
      </w:r>
      <w:r w:rsidR="00542440" w:rsidRPr="000A7771">
        <w:t>”;</w:t>
      </w:r>
    </w:p>
    <w:p w14:paraId="6D179914" w14:textId="4506E102" w:rsidR="00264A22" w:rsidRPr="000A7771" w:rsidRDefault="00C800B3" w:rsidP="000A7771">
      <w:pPr>
        <w:ind w:firstLine="709"/>
      </w:pPr>
      <w:r>
        <w:t xml:space="preserve">главу </w:t>
      </w:r>
      <w:r w:rsidR="00264A22" w:rsidRPr="000A7771">
        <w:t xml:space="preserve">доповнити </w:t>
      </w:r>
      <w:r w:rsidR="003A0B87">
        <w:t>двома</w:t>
      </w:r>
      <w:r w:rsidR="00264A22" w:rsidRPr="000A7771">
        <w:t xml:space="preserve"> новим</w:t>
      </w:r>
      <w:r w:rsidR="003A0B87">
        <w:t>и пунктами</w:t>
      </w:r>
      <w:r w:rsidR="00264A22" w:rsidRPr="000A7771">
        <w:t xml:space="preserve"> такого змісту:</w:t>
      </w:r>
    </w:p>
    <w:p w14:paraId="3D588050" w14:textId="33F2EF08" w:rsidR="00264A22" w:rsidRPr="000A7771" w:rsidRDefault="00264A22" w:rsidP="000A7771">
      <w:pPr>
        <w:ind w:firstLine="709"/>
      </w:pPr>
      <w:r w:rsidRPr="000A7771">
        <w:t>“</w:t>
      </w:r>
      <w:r w:rsidRPr="0011653F">
        <w:t>179</w:t>
      </w:r>
      <w:r w:rsidRPr="0011653F">
        <w:rPr>
          <w:vertAlign w:val="superscript"/>
        </w:rPr>
        <w:t>1</w:t>
      </w:r>
      <w:r w:rsidRPr="0011653F">
        <w:t>. Депозитарна</w:t>
      </w:r>
      <w:r w:rsidRPr="000A7771">
        <w:t xml:space="preserve"> установа, що є первинним дилером, для забезпечення розрахунків за результатами розміщення ОВДП під час аукціону з обміну ОВДП здійснює такі дії:</w:t>
      </w:r>
    </w:p>
    <w:p w14:paraId="073F5F99" w14:textId="77777777" w:rsidR="00264A22" w:rsidRPr="000A7771" w:rsidRDefault="00264A22" w:rsidP="000A7771">
      <w:pPr>
        <w:ind w:firstLine="709"/>
      </w:pPr>
    </w:p>
    <w:p w14:paraId="25431E97" w14:textId="77CF8FFD" w:rsidR="00264A22" w:rsidRPr="000A7771" w:rsidRDefault="00264A22" w:rsidP="000A7771">
      <w:pPr>
        <w:ind w:firstLine="709"/>
      </w:pPr>
      <w:r w:rsidRPr="000A7771">
        <w:t xml:space="preserve">1) за операціями з розміщення ОВДП, в яких депозитарна установа-первинний дилер виконує функцію брокера для своїх депонентів/клієнтів, контролює наявність на рахунках в цінних паперах депонентів, клієнтів депозитарної установи достатньої кількості  ОВДП в обігу для забезпечення розрахунків за правочинами з розміщення ОВДП під час аукціону з обміну ОВДП та в разі </w:t>
      </w:r>
      <w:proofErr w:type="spellStart"/>
      <w:r w:rsidRPr="000A7771">
        <w:t>відстутності</w:t>
      </w:r>
      <w:proofErr w:type="spellEnd"/>
      <w:r w:rsidRPr="000A7771">
        <w:t>/</w:t>
      </w:r>
      <w:r w:rsidRPr="00AF2F2B">
        <w:t xml:space="preserve">недостатності ОВДП в обігу має право до кінця операційного дня, що передує даті платежу, подати розпорядження на безумовну депозитарну операцію переказу ОВДП, що розміщуються та заблоковані для оплати, з агрегованого та/або </w:t>
      </w:r>
      <w:proofErr w:type="spellStart"/>
      <w:r w:rsidRPr="00AF2F2B">
        <w:t>сегрегованого</w:t>
      </w:r>
      <w:proofErr w:type="spellEnd"/>
      <w:r w:rsidRPr="00AF2F2B">
        <w:t xml:space="preserve"> рахунку, що відкритий для обліку цінних паперів депонента, клієнта або клієнта </w:t>
      </w:r>
      <w:proofErr w:type="spellStart"/>
      <w:r w:rsidRPr="00AF2F2B">
        <w:t>клієнта</w:t>
      </w:r>
      <w:proofErr w:type="spellEnd"/>
      <w:r w:rsidRPr="00AF2F2B">
        <w:t xml:space="preserve"> номінального утримувача в межах рахунку в цінних паперах депозитарної установи, на власний рахунок у цінних паперах депозитарної установи в порядку, визначеному пунктом 160</w:t>
      </w:r>
      <w:r w:rsidRPr="00AF2F2B">
        <w:rPr>
          <w:vertAlign w:val="superscript"/>
        </w:rPr>
        <w:t>1</w:t>
      </w:r>
      <w:r w:rsidRPr="000A7771">
        <w:t xml:space="preserve"> глави 19 розділу III цього Положення;</w:t>
      </w:r>
    </w:p>
    <w:p w14:paraId="1AF94E90" w14:textId="77777777" w:rsidR="00264A22" w:rsidRPr="000A7771" w:rsidRDefault="00264A22" w:rsidP="000A7771">
      <w:pPr>
        <w:ind w:firstLine="709"/>
      </w:pPr>
    </w:p>
    <w:p w14:paraId="6947BDA1" w14:textId="70D3E474" w:rsidR="00264A22" w:rsidRPr="000A7771" w:rsidRDefault="00264A22" w:rsidP="000A7771">
      <w:pPr>
        <w:ind w:firstLine="709"/>
      </w:pPr>
      <w:r w:rsidRPr="000A7771">
        <w:t xml:space="preserve">2) за операціями з розміщення ОВДП, в яких депозитарна установа-первинний дилер виконує функцію брокера для своїх депонентів/клієнтів, контролює перерахування її депонентами, клієнтами коштів для оплати різниці вартостей ОВДП, що розміщуються, та ОВДП в обігу та в разі неперерахування коштів має право до кінця операційного дня, що передує даті платежу, подати розпорядження на безумовну </w:t>
      </w:r>
      <w:r w:rsidRPr="00AF2F2B">
        <w:t xml:space="preserve">депозитарну операцію переказу ОВДП, що розміщуються та заблоковані для оплати, з агрегованого та/або </w:t>
      </w:r>
      <w:proofErr w:type="spellStart"/>
      <w:r w:rsidRPr="00AF2F2B">
        <w:t>сегрегованого</w:t>
      </w:r>
      <w:proofErr w:type="spellEnd"/>
      <w:r w:rsidRPr="00AF2F2B">
        <w:t xml:space="preserve"> рахунку, що відкритий для обліку цінних паперів депонента, клієнта або клієнта </w:t>
      </w:r>
      <w:proofErr w:type="spellStart"/>
      <w:r w:rsidRPr="00AF2F2B">
        <w:t>клієнта</w:t>
      </w:r>
      <w:proofErr w:type="spellEnd"/>
      <w:r w:rsidRPr="00AF2F2B">
        <w:t xml:space="preserve"> номінального утримувача в межах рахунку в цінних паперах депозитарної установи, на власний рахунок у цінних паперах депозитарної установи в порядку, визначеному пунктом 160</w:t>
      </w:r>
      <w:r w:rsidRPr="00AF2F2B">
        <w:rPr>
          <w:vertAlign w:val="superscript"/>
        </w:rPr>
        <w:t>1</w:t>
      </w:r>
      <w:r w:rsidRPr="000A7771">
        <w:t xml:space="preserve"> глави 19 розділу III цього Положення;</w:t>
      </w:r>
    </w:p>
    <w:p w14:paraId="0042C918" w14:textId="77777777" w:rsidR="00264A22" w:rsidRPr="000A7771" w:rsidRDefault="00264A22" w:rsidP="000A7771">
      <w:pPr>
        <w:ind w:firstLine="709"/>
      </w:pPr>
      <w:r w:rsidRPr="000A7771">
        <w:t xml:space="preserve"> </w:t>
      </w:r>
    </w:p>
    <w:p w14:paraId="1D295E02" w14:textId="0BF0269D" w:rsidR="00264A22" w:rsidRPr="000A7771" w:rsidRDefault="00264A22" w:rsidP="000A7771">
      <w:pPr>
        <w:ind w:firstLine="709"/>
      </w:pPr>
      <w:r w:rsidRPr="000A7771">
        <w:t>3) блокує на своєму рахунку в цінних паперах ОВДП в обігу у кількості, необхідній для виконання своїх зобов’язань перед емітентом за результатами розміщення ОВДП під час аукціону з обміну ОВДП;</w:t>
      </w:r>
    </w:p>
    <w:p w14:paraId="570846B9" w14:textId="77777777" w:rsidR="00264A22" w:rsidRPr="000A7771" w:rsidRDefault="00264A22" w:rsidP="000A7771">
      <w:pPr>
        <w:ind w:firstLine="709"/>
      </w:pPr>
    </w:p>
    <w:p w14:paraId="738E00D2" w14:textId="77777777" w:rsidR="00264A22" w:rsidRPr="000A7771" w:rsidRDefault="00264A22" w:rsidP="000A7771">
      <w:pPr>
        <w:ind w:firstLine="709"/>
      </w:pPr>
      <w:r w:rsidRPr="000A7771">
        <w:t>4) контролює отримання запиту на ініціювання платіжної інструкції від депозитарію Національного банку щодо сплати різниці  вартостей ОВДП за результатами розміщення ОВДП під час аукціону з обміну ОВДП, номінованих у національній валюті;</w:t>
      </w:r>
    </w:p>
    <w:p w14:paraId="29C25B6C" w14:textId="77777777" w:rsidR="00264A22" w:rsidRPr="000A7771" w:rsidRDefault="00264A22" w:rsidP="000A7771">
      <w:pPr>
        <w:ind w:firstLine="709"/>
      </w:pPr>
      <w:r w:rsidRPr="000A7771">
        <w:t xml:space="preserve"> </w:t>
      </w:r>
    </w:p>
    <w:p w14:paraId="2039FDB3" w14:textId="5B7632CC" w:rsidR="0003430F" w:rsidRDefault="0003430F" w:rsidP="0003430F">
      <w:pPr>
        <w:ind w:firstLine="709"/>
      </w:pPr>
      <w:r>
        <w:t>5) перевіряє суму зобов’язань у запиті на ініціювання платіжної інструкції та забезпечує оплату повної суми зобов’язань на підставі такого запиту, зазначаючи в реквізитах платежу номер та дату відомості про здійснення розрахунків за результатами аукціону з обміну облігацій, за результатами якого здійснюються грошові розрахунки;</w:t>
      </w:r>
    </w:p>
    <w:p w14:paraId="6BC69018" w14:textId="77777777" w:rsidR="0003430F" w:rsidRDefault="0003430F" w:rsidP="0003430F">
      <w:pPr>
        <w:pStyle w:val="af3"/>
        <w:ind w:left="1069" w:firstLine="709"/>
      </w:pPr>
    </w:p>
    <w:p w14:paraId="3B92E147" w14:textId="6087AAA0" w:rsidR="003A0B87" w:rsidRDefault="0003430F" w:rsidP="0003430F">
      <w:pPr>
        <w:ind w:firstLine="709"/>
      </w:pPr>
      <w:r>
        <w:t>6) забезпечує сплату різниці вартостей ОВДП за результатами розміщення ОВДП, номінованих в іноземній валюті (із зазначенням у реквізитах платежу номеру та дати відомості про здійснення розрахунків за результатами аукціону з обміну облігацій, за якими здійснюються розрахунки), в день, що є датою платежу, якщо згідно з інформацією з відомості про здійснення розрахунків за результатами аукціону з обміну облігацій депозитарна установа має зобов’язання перед емітентом.</w:t>
      </w:r>
    </w:p>
    <w:p w14:paraId="0CD944AD" w14:textId="77777777" w:rsidR="003A0B87" w:rsidRDefault="003A0B87" w:rsidP="0003430F">
      <w:pPr>
        <w:ind w:firstLine="709"/>
      </w:pPr>
    </w:p>
    <w:p w14:paraId="062C5933" w14:textId="4FA9B941" w:rsidR="003A0B87" w:rsidRDefault="003A0B87" w:rsidP="003A0B87">
      <w:pPr>
        <w:ind w:firstLine="709"/>
      </w:pPr>
      <w:r w:rsidRPr="00AF2F2B">
        <w:t>179</w:t>
      </w:r>
      <w:r w:rsidR="00163AF4" w:rsidRPr="00AF2F2B">
        <w:rPr>
          <w:vertAlign w:val="superscript"/>
        </w:rPr>
        <w:t>2</w:t>
      </w:r>
      <w:r w:rsidRPr="00AF2F2B">
        <w:t>. Депозитарій</w:t>
      </w:r>
      <w:r>
        <w:t xml:space="preserve"> Національного банку, якщо учасник розміщення ОВДП порушив кінцеві строки розрахунків за результатами розміщення ОВДП, кожного операційного дня відслідковує інформацію про стан грошових розрахунків. </w:t>
      </w:r>
    </w:p>
    <w:p w14:paraId="71B1EBEF" w14:textId="21A2B0EE" w:rsidR="003A0B87" w:rsidRDefault="003A0B87" w:rsidP="003A0B87">
      <w:pPr>
        <w:ind w:firstLine="709"/>
      </w:pPr>
      <w:r>
        <w:t xml:space="preserve">Депозитарій Національного банку, якщо учасник розміщення ОВДП забезпечив здійснення грошових розрахунків  у строк, встановлений </w:t>
      </w:r>
      <w:r w:rsidR="007F2255" w:rsidRPr="007F2255">
        <w:t>в Положенні № 248</w:t>
      </w:r>
      <w:r>
        <w:t xml:space="preserve">, виконує розрахунки в цінних </w:t>
      </w:r>
      <w:r w:rsidRPr="00AF2F2B">
        <w:t>паперах за результатами аукціону з обміну ОВДП в порядку, встановленому  пунктом 82</w:t>
      </w:r>
      <w:r w:rsidRPr="00AF2F2B">
        <w:rPr>
          <w:vertAlign w:val="superscript"/>
        </w:rPr>
        <w:t>1</w:t>
      </w:r>
      <w:r>
        <w:t xml:space="preserve"> глави 8 розділу II  цього Положення з урахуванням особливостей щодо часткової оплати ОВДП, визначених </w:t>
      </w:r>
      <w:r w:rsidR="00995443" w:rsidRPr="00995443">
        <w:t>в Положенні № 248</w:t>
      </w:r>
      <w:r>
        <w:t>.</w:t>
      </w:r>
    </w:p>
    <w:p w14:paraId="2B2EFA43" w14:textId="796A5D25" w:rsidR="003A0B87" w:rsidRDefault="003A0B87" w:rsidP="003A0B87">
      <w:pPr>
        <w:ind w:firstLine="709"/>
      </w:pPr>
      <w:r>
        <w:t xml:space="preserve">Депозитарій Національного банку, якщо учасник розміщення ОВДП не забезпечив здійснення грошових розрахунків у строк, встановлений </w:t>
      </w:r>
      <w:r w:rsidR="000250FB" w:rsidRPr="000250FB">
        <w:t>в Положенні № 248</w:t>
      </w:r>
      <w:r>
        <w:t xml:space="preserve">, здійснює списання ОВДП, що розміщуються та не були оплачені, з власних рахунків в цінних паперах депозитарних установ та/або агрегованих, та/або </w:t>
      </w:r>
      <w:proofErr w:type="spellStart"/>
      <w:r>
        <w:t>сегрегованих</w:t>
      </w:r>
      <w:proofErr w:type="spellEnd"/>
      <w:r>
        <w:t xml:space="preserve"> рахунків, що відкриті для обліку цінних паперів депонентів/номінальних утримувачів у межах рахунків у цінних паперах депозитарних установ в порядку виконання безумовної операції.</w:t>
      </w:r>
    </w:p>
    <w:p w14:paraId="72ED88AF" w14:textId="77777777" w:rsidR="003A0B87" w:rsidRDefault="003A0B87" w:rsidP="003A0B87">
      <w:pPr>
        <w:ind w:firstLine="709"/>
      </w:pPr>
      <w:r>
        <w:t>Депозитарій Національного банку у випадку порушення учасником обміну ОВДП кінцевих строків розрахунків за результатами такого аукціону кожного операційного дня відслідковує інформацію про виконання учасником обміну ОВДП дій, передбачених абзацом четвертим пункту 160 глави 19 розділу III цього Положення та, якщо відбулась проміжна виплата за ОВДП в обігу, - про перерахування учасником обміну ОВДП проміжної виплату доходу на рахунок Національного банку.</w:t>
      </w:r>
    </w:p>
    <w:p w14:paraId="5BF08AAA" w14:textId="5C7ABA52" w:rsidR="003A0B87" w:rsidRDefault="003A0B87" w:rsidP="003A0B87">
      <w:pPr>
        <w:ind w:firstLine="709"/>
      </w:pPr>
      <w:r>
        <w:t xml:space="preserve">Депозитарій Національного банку, якщо учасник обміну ОВДП, який порушив кінцеві строки розрахунків за результатами аукціону з обміну ОВДП, у строк, встановлений </w:t>
      </w:r>
      <w:r w:rsidR="0061495C" w:rsidRPr="0061495C">
        <w:t>в Положенні № 248</w:t>
      </w:r>
      <w:r>
        <w:t xml:space="preserve">, виконав дії передбачені абзацом четвертим пункту 160 глави 19 розділу III цього Положення, а також перерахував проміжну виплату доходу за ОВДП в обігу (за необхідності) виконує розрахунки в цінних паперах за результатами аукціону з обміну ОВДП в порядку, встановленому  </w:t>
      </w:r>
      <w:r w:rsidRPr="00AF2F2B">
        <w:t>пунктом 82</w:t>
      </w:r>
      <w:r w:rsidRPr="00AF2F2B">
        <w:rPr>
          <w:vertAlign w:val="superscript"/>
        </w:rPr>
        <w:t>2</w:t>
      </w:r>
      <w:r w:rsidRPr="00AF2F2B">
        <w:t xml:space="preserve"> глави</w:t>
      </w:r>
      <w:r>
        <w:t xml:space="preserve"> 8 розділу II  цього Положення.</w:t>
      </w:r>
    </w:p>
    <w:p w14:paraId="64625D47" w14:textId="2D40667D" w:rsidR="00264A22" w:rsidRPr="002E5A58" w:rsidRDefault="003A0B87" w:rsidP="003A0B87">
      <w:pPr>
        <w:ind w:firstLine="709"/>
      </w:pPr>
      <w:r>
        <w:t xml:space="preserve">Депозитарій Національного банку, якщо учасник обміну ОВДП, який порушив кінцеві строки розрахунків за результатами аукціону з обміну ОВДП, не забезпечив здійснення розрахунків за результатами такого аукціону в строк, встановлений </w:t>
      </w:r>
      <w:r w:rsidR="005C6CDE" w:rsidRPr="005C6CDE">
        <w:t>в Положенні № 248</w:t>
      </w:r>
      <w:r>
        <w:t xml:space="preserve">, здійснює списання ОВДП, що розміщуються під час аукціону з обміну ОВДП, з власних рахунків в цінних паперах </w:t>
      </w:r>
      <w:r w:rsidRPr="002E5A58">
        <w:t xml:space="preserve">депозитарних установ та/або агрегованих, та/або </w:t>
      </w:r>
      <w:proofErr w:type="spellStart"/>
      <w:r w:rsidRPr="002E5A58">
        <w:t>сегрегованих</w:t>
      </w:r>
      <w:proofErr w:type="spellEnd"/>
      <w:r w:rsidRPr="002E5A58">
        <w:t xml:space="preserve"> рахунків, що відкриті для обліку цінних паперів депонентів/номінальних утримувачів у межах рахунків у цінних паперах депозитарних установ в порядку виконання безумовної операції</w:t>
      </w:r>
      <w:r w:rsidR="00073EB4" w:rsidRPr="002E5A58">
        <w:t>.</w:t>
      </w:r>
      <w:r w:rsidR="00264A22" w:rsidRPr="002E5A58">
        <w:t>”</w:t>
      </w:r>
      <w:r w:rsidR="00115C5E" w:rsidRPr="002E5A58">
        <w:t>;</w:t>
      </w:r>
    </w:p>
    <w:p w14:paraId="39FAD7D7" w14:textId="77777777" w:rsidR="005C6CDE" w:rsidRPr="002E5A58" w:rsidRDefault="005C6CDE" w:rsidP="003A0B87">
      <w:pPr>
        <w:ind w:firstLine="709"/>
      </w:pPr>
    </w:p>
    <w:p w14:paraId="2CA15A7D" w14:textId="69600AAA" w:rsidR="00627615" w:rsidRPr="002E5A58" w:rsidRDefault="00627615" w:rsidP="00B85DFD">
      <w:pPr>
        <w:pStyle w:val="af3"/>
        <w:numPr>
          <w:ilvl w:val="0"/>
          <w:numId w:val="5"/>
        </w:numPr>
        <w:ind w:left="0" w:firstLine="709"/>
      </w:pPr>
      <w:r w:rsidRPr="002E5A58">
        <w:t>в абзаці другому пункту 202 глави 24 слова “</w:t>
      </w:r>
      <w:r w:rsidR="00B85DFD" w:rsidRPr="002E5A58">
        <w:t>а також у випадках, передбачених законодавством України</w:t>
      </w:r>
      <w:r w:rsidRPr="002E5A58">
        <w:t>”</w:t>
      </w:r>
      <w:r w:rsidR="00B85DFD" w:rsidRPr="002E5A58">
        <w:t xml:space="preserve"> замінити словами “на підставі розпоряджень депозитарію Національного банку та в інших випадках, передбачених законодавством</w:t>
      </w:r>
      <w:r w:rsidR="00BA7C6D" w:rsidRPr="002E5A58">
        <w:t xml:space="preserve"> України</w:t>
      </w:r>
      <w:r w:rsidR="00B85DFD" w:rsidRPr="002E5A58">
        <w:t xml:space="preserve"> з питань депозитарної діяльності”;</w:t>
      </w:r>
    </w:p>
    <w:p w14:paraId="24861E0F" w14:textId="77777777" w:rsidR="00BA7C6D" w:rsidRDefault="00BA7C6D" w:rsidP="006F11C2">
      <w:pPr>
        <w:pStyle w:val="af3"/>
        <w:ind w:left="709"/>
      </w:pPr>
    </w:p>
    <w:p w14:paraId="45194441" w14:textId="77777777" w:rsidR="00115C5E" w:rsidRPr="000A7771" w:rsidRDefault="00115C5E" w:rsidP="000A7771">
      <w:pPr>
        <w:pStyle w:val="af3"/>
        <w:numPr>
          <w:ilvl w:val="0"/>
          <w:numId w:val="5"/>
        </w:numPr>
        <w:ind w:left="0" w:firstLine="709"/>
      </w:pPr>
      <w:r w:rsidRPr="000A7771">
        <w:t>у главі 2</w:t>
      </w:r>
      <w:r w:rsidR="00C86918" w:rsidRPr="000A7771">
        <w:t>7</w:t>
      </w:r>
      <w:r w:rsidRPr="000A7771">
        <w:t>:</w:t>
      </w:r>
    </w:p>
    <w:p w14:paraId="17747E2C" w14:textId="1AA88E92" w:rsidR="00BA7C6D" w:rsidRDefault="00115C5E" w:rsidP="000A7771">
      <w:pPr>
        <w:ind w:firstLine="709"/>
      </w:pPr>
      <w:r w:rsidRPr="000A7771">
        <w:t xml:space="preserve">назву глави </w:t>
      </w:r>
      <w:r w:rsidR="00BA7C6D">
        <w:t>викласти в такій редакції:</w:t>
      </w:r>
    </w:p>
    <w:p w14:paraId="31490A35" w14:textId="6D98D04C" w:rsidR="00BA7C6D" w:rsidRDefault="00C86918" w:rsidP="00BA7C6D">
      <w:pPr>
        <w:ind w:firstLine="709"/>
      </w:pPr>
      <w:r w:rsidRPr="000A7771">
        <w:t>“</w:t>
      </w:r>
      <w:r w:rsidR="00BA7C6D">
        <w:t>27. Обслуговування облікових операцій за рахунками у цінних</w:t>
      </w:r>
    </w:p>
    <w:p w14:paraId="755C3918" w14:textId="2048241B" w:rsidR="00115C5E" w:rsidRPr="000A7771" w:rsidRDefault="00BA7C6D" w:rsidP="006F11C2">
      <w:pPr>
        <w:ind w:firstLine="709"/>
        <w:jc w:val="center"/>
      </w:pPr>
      <w:r>
        <w:t xml:space="preserve">паперах депозитарних установ/іноземних депозитаріїв за наслідками правочинів щодо ЦП, укладених поза організованим ринком капіталу з дотриманням під час розрахунків принципу “поставка цінних паперів проти оплати” (включаючи операції </w:t>
      </w:r>
      <w:proofErr w:type="spellStart"/>
      <w:r>
        <w:t>репо</w:t>
      </w:r>
      <w:proofErr w:type="spellEnd"/>
      <w:r>
        <w:t xml:space="preserve"> з поставкою ЦП, транскордонні операції), якщо такі розрахунки забезпечуються депозитарієм Національного банку</w:t>
      </w:r>
      <w:r w:rsidR="00C86918" w:rsidRPr="000A7771">
        <w:t>”;</w:t>
      </w:r>
    </w:p>
    <w:p w14:paraId="6E07327F" w14:textId="77777777" w:rsidR="00C86918" w:rsidRPr="000A7771" w:rsidRDefault="00B77308" w:rsidP="000A7771">
      <w:pPr>
        <w:ind w:firstLine="709"/>
      </w:pPr>
      <w:r w:rsidRPr="000A7771">
        <w:t>у пункту 210:</w:t>
      </w:r>
    </w:p>
    <w:p w14:paraId="252917D1" w14:textId="0A9DF515" w:rsidR="00B77308" w:rsidRPr="000A7771" w:rsidRDefault="00B77308" w:rsidP="000A7771">
      <w:pPr>
        <w:ind w:firstLine="709"/>
      </w:pPr>
      <w:r w:rsidRPr="000A7771">
        <w:t xml:space="preserve">абзац </w:t>
      </w:r>
      <w:r w:rsidR="00D9098E" w:rsidRPr="000A7771">
        <w:t xml:space="preserve">перший </w:t>
      </w:r>
      <w:r w:rsidRPr="000A7771">
        <w:t>після слів “депозитарних установ” доповнити словами “</w:t>
      </w:r>
      <w:r w:rsidR="00785ADE">
        <w:t>/</w:t>
      </w:r>
      <w:r w:rsidRPr="000A7771">
        <w:t>іноземних депозитаріїв”;</w:t>
      </w:r>
    </w:p>
    <w:p w14:paraId="34837322" w14:textId="073FE2E2" w:rsidR="00B77308" w:rsidRPr="000A7771" w:rsidRDefault="00B77308" w:rsidP="000A7771">
      <w:pPr>
        <w:ind w:firstLine="709"/>
      </w:pPr>
      <w:r w:rsidRPr="000A7771">
        <w:t>у підпункті</w:t>
      </w:r>
      <w:r w:rsidR="00D9098E" w:rsidRPr="006F11C2">
        <w:rPr>
          <w:lang w:val="ru-RU"/>
        </w:rPr>
        <w:t xml:space="preserve"> 1</w:t>
      </w:r>
      <w:r w:rsidR="007E26FC" w:rsidRPr="000A7771">
        <w:t xml:space="preserve">: </w:t>
      </w:r>
    </w:p>
    <w:p w14:paraId="31E4C0C2" w14:textId="77777777" w:rsidR="00750E35" w:rsidRPr="000A7771" w:rsidRDefault="00750E35" w:rsidP="000A7771">
      <w:pPr>
        <w:ind w:firstLine="709"/>
      </w:pPr>
      <w:r w:rsidRPr="000A7771">
        <w:t>слова “депозитарна установа, яка” замінити словами та літерами “депозитарна установа/іноземний депозитарій/керуючий рахунком від імені іноземного депозитарію, яка/який”</w:t>
      </w:r>
      <w:r w:rsidR="00AE6868" w:rsidRPr="000A7771">
        <w:t>;</w:t>
      </w:r>
    </w:p>
    <w:p w14:paraId="2FC3B169" w14:textId="38EFAF79" w:rsidR="00AE6868" w:rsidRPr="000A7771" w:rsidRDefault="00BA1D07" w:rsidP="000A7771">
      <w:pPr>
        <w:ind w:firstLine="709"/>
      </w:pPr>
      <w:r>
        <w:t>під</w:t>
      </w:r>
      <w:r w:rsidR="00D9098E">
        <w:t xml:space="preserve">пункт </w:t>
      </w:r>
      <w:r w:rsidR="00AE6868" w:rsidRPr="000A7771">
        <w:t>після слова “утримувача” доповнити словом “/клієнта”;</w:t>
      </w:r>
    </w:p>
    <w:p w14:paraId="0179E84F" w14:textId="5E2B97B6" w:rsidR="00E74991" w:rsidRPr="000A7771" w:rsidRDefault="00E74991" w:rsidP="000A7771">
      <w:pPr>
        <w:ind w:firstLine="709"/>
      </w:pPr>
      <w:r w:rsidRPr="000A7771">
        <w:t xml:space="preserve">у підпункті </w:t>
      </w:r>
      <w:r w:rsidR="00D9098E">
        <w:t>2</w:t>
      </w:r>
      <w:r w:rsidRPr="000A7771">
        <w:t>:</w:t>
      </w:r>
    </w:p>
    <w:p w14:paraId="2610119D" w14:textId="77777777" w:rsidR="00DD6161" w:rsidRDefault="00E74991" w:rsidP="000A7771">
      <w:pPr>
        <w:ind w:firstLine="709"/>
      </w:pPr>
      <w:r w:rsidRPr="000A7771">
        <w:t>у першому реченні</w:t>
      </w:r>
      <w:r w:rsidR="00DD6161">
        <w:t>:</w:t>
      </w:r>
    </w:p>
    <w:p w14:paraId="3CD1C609" w14:textId="49680A64" w:rsidR="00E74991" w:rsidRPr="000A7771" w:rsidRDefault="00E74991" w:rsidP="000A7771">
      <w:pPr>
        <w:ind w:firstLine="709"/>
      </w:pPr>
      <w:r w:rsidRPr="000A7771">
        <w:t>слова “депозитарна установа, яка” замінити словами та літерами “депозитарна установа/іноземний депозитарій/керуючий рахунком від імені іноземного депозитарію, яка/який”;</w:t>
      </w:r>
    </w:p>
    <w:p w14:paraId="56A72EF8" w14:textId="37638009" w:rsidR="00E74991" w:rsidRPr="000A7771" w:rsidRDefault="00DD6161" w:rsidP="000A7771">
      <w:pPr>
        <w:ind w:firstLine="709"/>
      </w:pPr>
      <w:r>
        <w:t xml:space="preserve">речення </w:t>
      </w:r>
      <w:r w:rsidR="00E74991" w:rsidRPr="000A7771">
        <w:t>після слова “утримувача” доповнити  словом “/клієнта”;</w:t>
      </w:r>
    </w:p>
    <w:p w14:paraId="6BEF869A" w14:textId="38C0CC5D" w:rsidR="00ED7D24" w:rsidRDefault="00ED7D24" w:rsidP="000A7771">
      <w:pPr>
        <w:ind w:firstLine="709"/>
      </w:pPr>
      <w:r w:rsidRPr="000A7771">
        <w:t>друг</w:t>
      </w:r>
      <w:r>
        <w:t>е</w:t>
      </w:r>
      <w:r w:rsidRPr="000A7771">
        <w:t xml:space="preserve"> реченн</w:t>
      </w:r>
      <w:r>
        <w:t>я</w:t>
      </w:r>
      <w:r w:rsidRPr="000A7771">
        <w:t xml:space="preserve"> </w:t>
      </w:r>
      <w:r>
        <w:t>викласти в такій редакції:</w:t>
      </w:r>
    </w:p>
    <w:p w14:paraId="66C1D461" w14:textId="69AA39CC" w:rsidR="00CB5895" w:rsidRPr="000A7771" w:rsidRDefault="00CB5895" w:rsidP="000A7771">
      <w:pPr>
        <w:ind w:firstLine="709"/>
      </w:pPr>
      <w:r w:rsidRPr="000A7771">
        <w:t>“</w:t>
      </w:r>
      <w:r w:rsidR="00ED7D24" w:rsidRPr="00ED7D24">
        <w:rPr>
          <w:color w:val="000000"/>
        </w:rPr>
        <w:t>Водночас депозитарна установа/іноземний депозитарій/керуючий рахунком повинна/повинен пересвідчитися, що обслуговуючий банк власника (одержувача)/номінального утримувача/клієнта, який або клієнт якого обслуговує власника (одержувача) відповідає вимогам щодо здійснення платежів за правочинами щодо цінних паперів на підставі запиту на ініціювання платіжної інструкції від депозитарію Національного банку;</w:t>
      </w:r>
      <w:r w:rsidRPr="000A7771">
        <w:t>”;</w:t>
      </w:r>
    </w:p>
    <w:p w14:paraId="34FD89D8" w14:textId="77777777" w:rsidR="00CB5895" w:rsidRPr="000A7771" w:rsidRDefault="00CB5895" w:rsidP="000A7771">
      <w:pPr>
        <w:ind w:firstLine="709"/>
      </w:pPr>
      <w:r w:rsidRPr="000A7771">
        <w:t>у підпункті 3 слова “установи, що обслуговує власника (постачальника)/номінального утримувача” замінити словами “установи/іноземного депозитарію, що обслуговує власника (постачальника)/номінального утримувача/клієнта”;</w:t>
      </w:r>
    </w:p>
    <w:p w14:paraId="7D9DFFED" w14:textId="19D92ACF" w:rsidR="00CB5895" w:rsidRPr="000A7771" w:rsidRDefault="00CB5895" w:rsidP="000A7771">
      <w:pPr>
        <w:ind w:firstLine="709"/>
      </w:pPr>
      <w:r w:rsidRPr="000A7771">
        <w:t xml:space="preserve">підпункт </w:t>
      </w:r>
      <w:r w:rsidR="00DD6161">
        <w:t>4</w:t>
      </w:r>
      <w:r w:rsidRPr="000A7771">
        <w:t xml:space="preserve"> після слова “утримувача” доповнити словом “/клієнта”;</w:t>
      </w:r>
    </w:p>
    <w:p w14:paraId="31702CD9" w14:textId="6DD3C565" w:rsidR="00CB5895" w:rsidRPr="000A7771" w:rsidRDefault="00CB5895" w:rsidP="000A7771">
      <w:pPr>
        <w:ind w:firstLine="709"/>
      </w:pPr>
      <w:r w:rsidRPr="000A7771">
        <w:t xml:space="preserve">підпункт </w:t>
      </w:r>
      <w:r w:rsidR="00DD6161">
        <w:t>5</w:t>
      </w:r>
      <w:r w:rsidRPr="000A7771">
        <w:t xml:space="preserve"> після слова “утримувач” доповнити словом “/клієнт”;</w:t>
      </w:r>
    </w:p>
    <w:p w14:paraId="7164EE78" w14:textId="2EBA3A7E" w:rsidR="00663E7E" w:rsidRDefault="002537FC" w:rsidP="000A7771">
      <w:pPr>
        <w:ind w:firstLine="709"/>
      </w:pPr>
      <w:r w:rsidRPr="000A7771">
        <w:t xml:space="preserve">підпункт </w:t>
      </w:r>
      <w:r w:rsidR="00DD6161">
        <w:t>6</w:t>
      </w:r>
      <w:r w:rsidR="00663E7E">
        <w:t xml:space="preserve"> викласти в такій редакції:</w:t>
      </w:r>
    </w:p>
    <w:p w14:paraId="49DC6E1F" w14:textId="3962CA9E" w:rsidR="00663E7E" w:rsidRDefault="00663E7E" w:rsidP="000A7771">
      <w:pPr>
        <w:ind w:firstLine="709"/>
      </w:pPr>
      <w:r w:rsidRPr="006F11C2">
        <w:t>“6) депозитарій Національного банку одночасно з надходженням повідомлення про зарахування коштів на рахунок (постачальника)/номінального утримувача/клієнта, який або клієнт якого обслуговує власника (постачальника) в обслуговуючому банку, здійснює безумовні депозитарні операції переказу ЦП з рахунку в цінних паперах депозитарної установи/іноземного депозитарію, яка/який обслуговує власника (постачальника)/номінального утримувача/клієнта, який або клієнт якого обслуговує власника (постачальника), на рахунок у цінних паперах депозитарної установи/іноземного депозитарію, яка/який обслуговує власника (одержувача)/номінального утримувача/клієнта, який або клієнт якого обслуговує власника (одержувача);”</w:t>
      </w:r>
      <w:r>
        <w:t>;</w:t>
      </w:r>
      <w:r w:rsidR="001D4753" w:rsidRPr="000A7771">
        <w:t xml:space="preserve"> </w:t>
      </w:r>
    </w:p>
    <w:p w14:paraId="37753D26" w14:textId="40DE8658" w:rsidR="00CB5895" w:rsidRPr="000A7771" w:rsidRDefault="00663E7E" w:rsidP="000A7771">
      <w:pPr>
        <w:ind w:firstLine="709"/>
      </w:pPr>
      <w:r>
        <w:t xml:space="preserve">підпункт </w:t>
      </w:r>
      <w:r w:rsidR="00DD6161">
        <w:t>8</w:t>
      </w:r>
      <w:r w:rsidR="002537FC" w:rsidRPr="000A7771">
        <w:t xml:space="preserve"> після слів </w:t>
      </w:r>
      <w:r w:rsidR="00640826" w:rsidRPr="000A7771">
        <w:t xml:space="preserve">“установи”, </w:t>
      </w:r>
      <w:r w:rsidR="002537FC" w:rsidRPr="000A7771">
        <w:t>“яка”</w:t>
      </w:r>
      <w:r w:rsidR="00051EB5">
        <w:t xml:space="preserve">, </w:t>
      </w:r>
      <w:r w:rsidR="00051EB5" w:rsidRPr="000A7771">
        <w:t>“утримувача”</w:t>
      </w:r>
      <w:r w:rsidR="00640826" w:rsidRPr="000A7771">
        <w:t xml:space="preserve"> доповнити відповідно словами</w:t>
      </w:r>
      <w:r w:rsidR="002537FC" w:rsidRPr="000A7771">
        <w:t xml:space="preserve"> “</w:t>
      </w:r>
      <w:r w:rsidR="00640826" w:rsidRPr="000A7771">
        <w:t>/іноземного депозитарію</w:t>
      </w:r>
      <w:r w:rsidR="002537FC" w:rsidRPr="000A7771">
        <w:t>”, “</w:t>
      </w:r>
      <w:r w:rsidR="00640826" w:rsidRPr="000A7771">
        <w:t>/який</w:t>
      </w:r>
      <w:r w:rsidR="002537FC" w:rsidRPr="000A7771">
        <w:t>”</w:t>
      </w:r>
      <w:r w:rsidR="00051EB5">
        <w:t xml:space="preserve">, </w:t>
      </w:r>
      <w:r w:rsidR="00051EB5" w:rsidRPr="000A7771">
        <w:t>“/клієнта”</w:t>
      </w:r>
      <w:r w:rsidR="00640826" w:rsidRPr="000A7771">
        <w:t>;</w:t>
      </w:r>
    </w:p>
    <w:p w14:paraId="27B7BD1D" w14:textId="77777777" w:rsidR="00D93A3C" w:rsidRPr="000A7771" w:rsidRDefault="00D93A3C" w:rsidP="000A7771">
      <w:pPr>
        <w:ind w:firstLine="709"/>
      </w:pPr>
      <w:r w:rsidRPr="000A7771">
        <w:t>пункт 211 після слова “установи” доповнити словами “/іноземний депозитарій/керуючий рахунком”;</w:t>
      </w:r>
    </w:p>
    <w:p w14:paraId="4EDEC100" w14:textId="77777777" w:rsidR="00E74991" w:rsidRPr="000A7771" w:rsidRDefault="00474473" w:rsidP="000A7771">
      <w:pPr>
        <w:ind w:firstLine="709"/>
      </w:pPr>
      <w:r w:rsidRPr="000A7771">
        <w:t>пункт 212 після слова “установа” доповнити словами “/іноземний депозитарій/керуючий рахунком”;</w:t>
      </w:r>
    </w:p>
    <w:p w14:paraId="529EF112" w14:textId="311A0AD0" w:rsidR="00B77308" w:rsidRDefault="00DB5362" w:rsidP="000A7771">
      <w:pPr>
        <w:ind w:firstLine="709"/>
      </w:pPr>
      <w:r w:rsidRPr="000A7771">
        <w:t>пункт 213 після слів “установа”, “депонентів” доповнити відповідно</w:t>
      </w:r>
      <w:r w:rsidR="00DD6161">
        <w:t xml:space="preserve"> словами</w:t>
      </w:r>
      <w:r w:rsidRPr="000A7771">
        <w:t xml:space="preserve"> “</w:t>
      </w:r>
      <w:r w:rsidR="00976698" w:rsidRPr="000A7771">
        <w:t>/іноземний депозитарій</w:t>
      </w:r>
      <w:r w:rsidRPr="000A7771">
        <w:t>”, “</w:t>
      </w:r>
      <w:r w:rsidR="00976698" w:rsidRPr="000A7771">
        <w:t>номінальних утримувачів/клієнтів, а також надає їм відповідні звіти або інформацію</w:t>
      </w:r>
      <w:r w:rsidRPr="000A7771">
        <w:t>”</w:t>
      </w:r>
      <w:r w:rsidR="00976698" w:rsidRPr="000A7771">
        <w:t>;</w:t>
      </w:r>
    </w:p>
    <w:p w14:paraId="4F1DA228" w14:textId="77777777" w:rsidR="006E2EC0" w:rsidRPr="000A7771" w:rsidRDefault="006E2EC0" w:rsidP="000A7771">
      <w:pPr>
        <w:ind w:firstLine="709"/>
      </w:pPr>
    </w:p>
    <w:p w14:paraId="369311BC" w14:textId="77777777" w:rsidR="00115C5E" w:rsidRPr="007500B5" w:rsidRDefault="00714A44" w:rsidP="007500B5">
      <w:pPr>
        <w:pStyle w:val="af3"/>
        <w:numPr>
          <w:ilvl w:val="0"/>
          <w:numId w:val="5"/>
        </w:numPr>
        <w:ind w:left="0" w:firstLine="709"/>
      </w:pPr>
      <w:r w:rsidRPr="007500B5">
        <w:t>у главі 28:</w:t>
      </w:r>
    </w:p>
    <w:p w14:paraId="431C3D1A" w14:textId="044E5E59" w:rsidR="00714A44" w:rsidRPr="007500B5" w:rsidRDefault="00714A44" w:rsidP="007500B5">
      <w:pPr>
        <w:ind w:firstLine="709"/>
      </w:pPr>
      <w:r w:rsidRPr="007500B5">
        <w:t>назв</w:t>
      </w:r>
      <w:r w:rsidR="0054599E">
        <w:t>у</w:t>
      </w:r>
      <w:r w:rsidRPr="007500B5">
        <w:t xml:space="preserve"> глави</w:t>
      </w:r>
      <w:r w:rsidR="006E2EC0">
        <w:t xml:space="preserve"> викласти в такій редакції</w:t>
      </w:r>
      <w:r w:rsidRPr="007500B5">
        <w:t>:</w:t>
      </w:r>
    </w:p>
    <w:p w14:paraId="73AEA50C" w14:textId="2E8ED943" w:rsidR="006E2EC0" w:rsidRPr="006E2EC0" w:rsidRDefault="00714A44" w:rsidP="006F11C2">
      <w:pPr>
        <w:ind w:firstLine="709"/>
        <w:jc w:val="center"/>
        <w:rPr>
          <w:color w:val="000000"/>
        </w:rPr>
      </w:pPr>
      <w:r w:rsidRPr="002E5A58">
        <w:t>“</w:t>
      </w:r>
      <w:r w:rsidR="006E2EC0" w:rsidRPr="002E5A58">
        <w:rPr>
          <w:color w:val="000000"/>
        </w:rPr>
        <w:t>28. Обслуговування</w:t>
      </w:r>
      <w:r w:rsidR="006E2EC0" w:rsidRPr="006E2EC0">
        <w:rPr>
          <w:color w:val="000000"/>
        </w:rPr>
        <w:t xml:space="preserve"> облікових операцій за рахунками у цінних</w:t>
      </w:r>
    </w:p>
    <w:p w14:paraId="0DFEAAFC" w14:textId="77777777" w:rsidR="006E2EC0" w:rsidRPr="006E2EC0" w:rsidRDefault="006E2EC0" w:rsidP="006F11C2">
      <w:pPr>
        <w:ind w:firstLine="709"/>
        <w:jc w:val="center"/>
        <w:rPr>
          <w:color w:val="000000"/>
        </w:rPr>
      </w:pPr>
      <w:r w:rsidRPr="006E2EC0">
        <w:rPr>
          <w:color w:val="000000"/>
        </w:rPr>
        <w:t>паперах депозитарних установ/іноземних депозитаріїв за наслідками правочинів щодо ЦП, укладених поза організованим ринком капіталу з дотриманням під час розрахунків принципу “поставка</w:t>
      </w:r>
    </w:p>
    <w:p w14:paraId="796B8DCF" w14:textId="448DABAB" w:rsidR="00714A44" w:rsidRPr="007500B5" w:rsidRDefault="006E2EC0" w:rsidP="006F11C2">
      <w:pPr>
        <w:ind w:firstLine="709"/>
        <w:jc w:val="center"/>
      </w:pPr>
      <w:r w:rsidRPr="006E2EC0">
        <w:rPr>
          <w:color w:val="000000"/>
        </w:rPr>
        <w:t xml:space="preserve">цінних паперів без оплати” (включаючи операції </w:t>
      </w:r>
      <w:proofErr w:type="spellStart"/>
      <w:r w:rsidRPr="006E2EC0">
        <w:rPr>
          <w:color w:val="000000"/>
        </w:rPr>
        <w:t>репо</w:t>
      </w:r>
      <w:proofErr w:type="spellEnd"/>
      <w:r w:rsidRPr="006E2EC0">
        <w:rPr>
          <w:color w:val="000000"/>
        </w:rPr>
        <w:t xml:space="preserve"> з поставкою ЦП, транскордонні операції)</w:t>
      </w:r>
      <w:r w:rsidR="001F4CD3" w:rsidRPr="007500B5">
        <w:t>”;</w:t>
      </w:r>
    </w:p>
    <w:p w14:paraId="06448A6E" w14:textId="04E61BCA" w:rsidR="00DE69F7" w:rsidRDefault="001B2FFB" w:rsidP="007500B5">
      <w:pPr>
        <w:ind w:firstLine="709"/>
      </w:pPr>
      <w:r w:rsidRPr="007500B5">
        <w:t>пункт</w:t>
      </w:r>
      <w:r w:rsidR="0042702C">
        <w:t>и</w:t>
      </w:r>
      <w:r w:rsidRPr="007500B5">
        <w:t xml:space="preserve"> 214</w:t>
      </w:r>
      <w:r w:rsidR="0042702C">
        <w:t>, 215, 217</w:t>
      </w:r>
      <w:r w:rsidRPr="007500B5">
        <w:t xml:space="preserve"> </w:t>
      </w:r>
      <w:r w:rsidR="00DE69F7">
        <w:t>викласти в такій редакції:</w:t>
      </w:r>
    </w:p>
    <w:p w14:paraId="6ECB85B2" w14:textId="535E9C83" w:rsidR="0042702C" w:rsidRDefault="001B2FFB" w:rsidP="007500B5">
      <w:pPr>
        <w:ind w:firstLine="709"/>
      </w:pPr>
      <w:r w:rsidRPr="007500B5">
        <w:t>“</w:t>
      </w:r>
      <w:r w:rsidR="00DE69F7" w:rsidRPr="00DE69F7">
        <w:t>214. Розрахунки у цінних паперах за правочинами, укладеними поза організованим ринком капіталу за принципом “поставка цінних паперів без оплати”, здійснюються на підставі зустрічних розпоряджень депозитарних установ/іноземних депозитаріїв, що обслуговують сторони відповідних правочинів /номінальних утримувачів/клієнтів, які або клієнти яких обслуговують сторони відповідних правочинів. Водночас депозитарні установи/іноземний депозитарій/керуючий рахунком зазначають тип правочину (</w:t>
      </w:r>
      <w:proofErr w:type="spellStart"/>
      <w:r w:rsidR="00DE69F7" w:rsidRPr="00DE69F7">
        <w:t>репо</w:t>
      </w:r>
      <w:proofErr w:type="spellEnd"/>
      <w:r w:rsidR="00DE69F7" w:rsidRPr="00DE69F7">
        <w:t>, купівля-продаж, міна, переуступка, кредитування або інший тип) та інші реквізити правочину.</w:t>
      </w:r>
      <w:r w:rsidR="0042702C">
        <w:t xml:space="preserve"> </w:t>
      </w:r>
    </w:p>
    <w:p w14:paraId="33909035" w14:textId="78A92E83" w:rsidR="0042702C" w:rsidRDefault="00172D3D" w:rsidP="007500B5">
      <w:pPr>
        <w:ind w:firstLine="709"/>
      </w:pPr>
      <w:r w:rsidRPr="007500B5">
        <w:t xml:space="preserve"> </w:t>
      </w:r>
    </w:p>
    <w:p w14:paraId="3C90CEFC" w14:textId="77777777" w:rsidR="002E5A58" w:rsidRDefault="00DE69F7">
      <w:pPr>
        <w:ind w:firstLine="709"/>
      </w:pPr>
      <w:r w:rsidRPr="00DE69F7">
        <w:t xml:space="preserve">215. Депозитарій Національного банку за результатами успішного </w:t>
      </w:r>
      <w:proofErr w:type="spellStart"/>
      <w:r w:rsidRPr="00DE69F7">
        <w:t>квитування</w:t>
      </w:r>
      <w:proofErr w:type="spellEnd"/>
      <w:r w:rsidRPr="00DE69F7">
        <w:t xml:space="preserve"> зустрічних розпоряджень здійснює переказ ЦП з рахунку в цінних паперах депозитарної установи/іноземного депозитарію, яка/який обслуговує власника (постачальника)/номінального утримувача/клієнта, який або клієнт якого обслуговує власника (постачальника) на рахунок у цінних паперах депозитарної установи/іноземного депозитарію, яка/який обслуговує власника (одержувача)/ номінального утримувача/клієнта, який або клієнт якого обслуговує власника (одержувача).</w:t>
      </w:r>
      <w:r w:rsidR="00172D3D" w:rsidRPr="007500B5">
        <w:t>”;</w:t>
      </w:r>
    </w:p>
    <w:p w14:paraId="75F2A2D5" w14:textId="79AB52B4" w:rsidR="00086983" w:rsidRPr="007500B5" w:rsidRDefault="006B7810">
      <w:pPr>
        <w:ind w:firstLine="709"/>
      </w:pPr>
      <w:r w:rsidRPr="007500B5">
        <w:t>“</w:t>
      </w:r>
      <w:r w:rsidR="00D15DB2" w:rsidRPr="00D15DB2">
        <w:t>217. Депозитарна установа/іноземний депозитарій на підставі інформації про проведені депозитарієм Національного банку операції за наслідками укладених правочинів уносять зміни до системи депозитарного обліку за відповідними рахунками в цінних паперах депонентів/номінальних утримувачів/клієнтів, а також надає їм відповідні звіти або інформацію згідно з вимогами пункту 60 глави 5 розділу І цього Положення.</w:t>
      </w:r>
      <w:r w:rsidRPr="007500B5">
        <w:t>”</w:t>
      </w:r>
      <w:r w:rsidR="00991E8C" w:rsidRPr="007500B5">
        <w:t>.</w:t>
      </w:r>
    </w:p>
    <w:p w14:paraId="785DB518" w14:textId="77777777" w:rsidR="00991E8C" w:rsidRPr="007500B5" w:rsidRDefault="00991E8C" w:rsidP="007500B5">
      <w:pPr>
        <w:ind w:firstLine="709"/>
      </w:pPr>
    </w:p>
    <w:p w14:paraId="3DF95354" w14:textId="77777777" w:rsidR="00991E8C" w:rsidRPr="007500B5" w:rsidRDefault="00991E8C" w:rsidP="007500B5">
      <w:pPr>
        <w:pStyle w:val="af3"/>
        <w:numPr>
          <w:ilvl w:val="0"/>
          <w:numId w:val="1"/>
        </w:numPr>
        <w:ind w:left="0" w:firstLine="709"/>
      </w:pPr>
      <w:r w:rsidRPr="007500B5">
        <w:t>У розділі IV:</w:t>
      </w:r>
    </w:p>
    <w:p w14:paraId="20FE8FDD" w14:textId="77777777" w:rsidR="00991E8C" w:rsidRPr="007500B5" w:rsidRDefault="00991E8C" w:rsidP="007500B5">
      <w:pPr>
        <w:pStyle w:val="af3"/>
        <w:ind w:left="0" w:firstLine="709"/>
      </w:pPr>
    </w:p>
    <w:p w14:paraId="60E1DCA9" w14:textId="77777777" w:rsidR="00991E8C" w:rsidRDefault="00991E8C" w:rsidP="007500B5">
      <w:pPr>
        <w:pStyle w:val="af3"/>
        <w:numPr>
          <w:ilvl w:val="0"/>
          <w:numId w:val="6"/>
        </w:numPr>
        <w:ind w:left="0" w:firstLine="709"/>
      </w:pPr>
      <w:r w:rsidRPr="007500B5">
        <w:t>у главі 33:</w:t>
      </w:r>
    </w:p>
    <w:p w14:paraId="53DB3541" w14:textId="503211C3" w:rsidR="00AA5477" w:rsidRPr="00AA5477" w:rsidRDefault="004C6E31" w:rsidP="006F11C2">
      <w:pPr>
        <w:pStyle w:val="af3"/>
        <w:ind w:left="0" w:firstLine="709"/>
      </w:pPr>
      <w:r>
        <w:t xml:space="preserve">в </w:t>
      </w:r>
      <w:r w:rsidR="00AA5477">
        <w:t>абзац</w:t>
      </w:r>
      <w:r>
        <w:t>і</w:t>
      </w:r>
      <w:r w:rsidR="00AA5477">
        <w:t xml:space="preserve"> </w:t>
      </w:r>
      <w:r>
        <w:t xml:space="preserve">другому </w:t>
      </w:r>
      <w:r w:rsidR="00AA5477">
        <w:t>пункту 257 слов</w:t>
      </w:r>
      <w:r>
        <w:t>о</w:t>
      </w:r>
      <w:r w:rsidR="00AA5477">
        <w:t xml:space="preserve"> </w:t>
      </w:r>
      <w:r w:rsidR="00AA5477" w:rsidRPr="00571F58">
        <w:rPr>
          <w:lang w:val="ru-RU"/>
        </w:rPr>
        <w:t>“</w:t>
      </w:r>
      <w:r>
        <w:t>системи</w:t>
      </w:r>
      <w:r w:rsidR="00AA5477" w:rsidRPr="00571F58">
        <w:rPr>
          <w:lang w:val="ru-RU"/>
        </w:rPr>
        <w:t>”</w:t>
      </w:r>
      <w:r w:rsidR="00AA5477">
        <w:t xml:space="preserve"> </w:t>
      </w:r>
      <w:r>
        <w:t xml:space="preserve">замінити </w:t>
      </w:r>
      <w:r w:rsidR="00AA5477">
        <w:t>словом</w:t>
      </w:r>
      <w:r w:rsidR="00AA5477" w:rsidRPr="00571F58">
        <w:rPr>
          <w:lang w:val="ru-RU"/>
        </w:rPr>
        <w:t xml:space="preserve"> “</w:t>
      </w:r>
      <w:r w:rsidR="00AA5477">
        <w:t>систем</w:t>
      </w:r>
      <w:r w:rsidR="00AA5477" w:rsidRPr="00571F58">
        <w:rPr>
          <w:lang w:val="ru-RU"/>
        </w:rPr>
        <w:t>”</w:t>
      </w:r>
      <w:r w:rsidR="00AA5477">
        <w:t>;</w:t>
      </w:r>
    </w:p>
    <w:p w14:paraId="1B96F41A" w14:textId="4627C543" w:rsidR="00825FBB" w:rsidRPr="007500B5" w:rsidRDefault="00825FBB" w:rsidP="007500B5">
      <w:pPr>
        <w:ind w:firstLine="709"/>
      </w:pPr>
      <w:r w:rsidRPr="007500B5">
        <w:t xml:space="preserve">пункт 258 </w:t>
      </w:r>
      <w:r w:rsidR="007134C5">
        <w:t>викласти в такій редакції</w:t>
      </w:r>
      <w:r w:rsidRPr="007500B5">
        <w:t>:</w:t>
      </w:r>
    </w:p>
    <w:p w14:paraId="091F5C18" w14:textId="3716EB37" w:rsidR="00825FBB" w:rsidRPr="007500B5" w:rsidRDefault="00825FBB" w:rsidP="007500B5">
      <w:pPr>
        <w:ind w:firstLine="709"/>
      </w:pPr>
      <w:r w:rsidRPr="007500B5">
        <w:t>“</w:t>
      </w:r>
      <w:r w:rsidR="0042702C">
        <w:t xml:space="preserve">258. </w:t>
      </w:r>
      <w:r w:rsidR="007134C5" w:rsidRPr="007134C5">
        <w:t>Підставою для внесення ОЗДП та державних деривативів для обліку до системи депозитарного обліку депозитарію Національного банку є розпорядження депозитарної установи на зарахування ОЗДП та державних деривативів або  інформація, отримана від іноземного депозитарію у випадках, передбачених умовами корпоративної операції (події) та/або внутрішніми документами іноземного депозитарію</w:t>
      </w:r>
      <w:r w:rsidR="007134C5">
        <w:t>,</w:t>
      </w:r>
      <w:r w:rsidR="007134C5" w:rsidRPr="007134C5">
        <w:t xml:space="preserve"> та підтвердження про зарахування відповідних ОЗДП та державних деривативів на рахунок депозитарію Національного банку, відкритий в іноземному депозитарії, у формі, визначеній відповідним договором з іноземним депозитарієм.</w:t>
      </w:r>
      <w:r w:rsidRPr="007500B5">
        <w:t>”;</w:t>
      </w:r>
    </w:p>
    <w:p w14:paraId="131CC59C" w14:textId="1119D1DE" w:rsidR="00825FBB" w:rsidRPr="007500B5" w:rsidRDefault="0011243C" w:rsidP="007500B5">
      <w:pPr>
        <w:ind w:firstLine="709"/>
      </w:pPr>
      <w:r>
        <w:t>главу п</w:t>
      </w:r>
      <w:r w:rsidR="00825FBB" w:rsidRPr="007500B5">
        <w:t>ісля пункту 258 доповнити новим пунктом 258</w:t>
      </w:r>
      <w:r w:rsidR="00825FBB" w:rsidRPr="007500B5">
        <w:rPr>
          <w:vertAlign w:val="superscript"/>
        </w:rPr>
        <w:t>1</w:t>
      </w:r>
      <w:r w:rsidR="00825FBB" w:rsidRPr="007500B5">
        <w:t xml:space="preserve"> такого змісту:</w:t>
      </w:r>
    </w:p>
    <w:p w14:paraId="5F18A0BE" w14:textId="07292C79" w:rsidR="00825FBB" w:rsidRPr="007500B5" w:rsidRDefault="00825FBB" w:rsidP="00833AB8">
      <w:pPr>
        <w:ind w:firstLine="709"/>
      </w:pPr>
      <w:r w:rsidRPr="007500B5">
        <w:t>“258</w:t>
      </w:r>
      <w:r w:rsidRPr="007500B5">
        <w:rPr>
          <w:vertAlign w:val="superscript"/>
        </w:rPr>
        <w:t>1</w:t>
      </w:r>
      <w:r w:rsidRPr="007500B5">
        <w:t xml:space="preserve">. </w:t>
      </w:r>
      <w:r w:rsidR="00833AB8" w:rsidRPr="00833AB8">
        <w:t>Підставою для виведення ОЗДП та державних деривативів з обліку в системі депозитарного обліку депозитарію Національного банку є розпорядження депозитарної установи на списання ОЗДП та/або державних деривативів або інформація, отримана від іноземного депозитарію у випадках, передбачених умовами корпоративної операції (події) та/або внутрішніми документами іноземного депозитарію, та  підтвердження про списання відповідних ОЗДП та/або державних деривативів з рахунку депозитарію Національного банку, відкритому в іноземному депозитарії, у формі, визначеній відповідним договором з іноземним депозитарієм.</w:t>
      </w:r>
      <w:r w:rsidRPr="007500B5">
        <w:t>”;</w:t>
      </w:r>
    </w:p>
    <w:p w14:paraId="4EDB79C1" w14:textId="77777777" w:rsidR="00CB13FD" w:rsidRPr="007500B5" w:rsidRDefault="00CB13FD" w:rsidP="007500B5">
      <w:pPr>
        <w:ind w:firstLine="709"/>
      </w:pPr>
      <w:r w:rsidRPr="007500B5">
        <w:t>підпункт 3 пункту 259 доповнити словами “, а також інших виплат”;</w:t>
      </w:r>
    </w:p>
    <w:p w14:paraId="54DACE0F" w14:textId="77777777" w:rsidR="00CB13FD" w:rsidRPr="007500B5" w:rsidRDefault="00CB13FD" w:rsidP="007500B5">
      <w:pPr>
        <w:ind w:firstLine="709"/>
      </w:pPr>
      <w:r w:rsidRPr="007500B5">
        <w:t>у пункті 262:</w:t>
      </w:r>
    </w:p>
    <w:p w14:paraId="691FF355" w14:textId="77777777" w:rsidR="00CB13FD" w:rsidRPr="007500B5" w:rsidRDefault="00824826" w:rsidP="007500B5">
      <w:pPr>
        <w:ind w:firstLine="709"/>
      </w:pPr>
      <w:r w:rsidRPr="007500B5">
        <w:t>перше речення абзацу першого доповнити словами “або засобами  електронної пошти Національного банку, або в паперов</w:t>
      </w:r>
      <w:r w:rsidR="00A05AB1">
        <w:t>ій</w:t>
      </w:r>
      <w:r w:rsidRPr="007500B5">
        <w:t xml:space="preserve"> </w:t>
      </w:r>
      <w:r w:rsidR="00A05AB1">
        <w:t>формі</w:t>
      </w:r>
      <w:r w:rsidRPr="007500B5">
        <w:t>”;</w:t>
      </w:r>
    </w:p>
    <w:p w14:paraId="09C6F493" w14:textId="519BD900" w:rsidR="0048071E" w:rsidRDefault="00824826" w:rsidP="007500B5">
      <w:pPr>
        <w:ind w:firstLine="709"/>
      </w:pPr>
      <w:r w:rsidRPr="007500B5">
        <w:t xml:space="preserve">підпункт </w:t>
      </w:r>
      <w:r w:rsidR="001D4C3A">
        <w:t xml:space="preserve">1 </w:t>
      </w:r>
      <w:r w:rsidR="0048071E">
        <w:t>викласти в такій редакції:</w:t>
      </w:r>
    </w:p>
    <w:p w14:paraId="30A16613" w14:textId="1191F5F7" w:rsidR="00824826" w:rsidRPr="007500B5" w:rsidRDefault="00824826" w:rsidP="007500B5">
      <w:pPr>
        <w:ind w:firstLine="709"/>
      </w:pPr>
      <w:r w:rsidRPr="007500B5">
        <w:t xml:space="preserve"> “</w:t>
      </w:r>
      <w:r w:rsidR="001F258E">
        <w:t xml:space="preserve">1) </w:t>
      </w:r>
      <w:r w:rsidR="0048071E" w:rsidRPr="0048071E">
        <w:t>здійснює відміну раніше наданого розпорядження в системі депозитарного обліку депозитарію Національного банку – якщо таке розпорядження надавалося депозитарію Національного банку засобами системи автоматизації депозитарію Національного банку та ще не було направлено до іноземного депозитарію;</w:t>
      </w:r>
      <w:r w:rsidRPr="007500B5">
        <w:t>”;</w:t>
      </w:r>
    </w:p>
    <w:p w14:paraId="3AD5A2FF" w14:textId="496FAF3F" w:rsidR="00090F54" w:rsidRPr="007500B5" w:rsidRDefault="001D4C3A" w:rsidP="007500B5">
      <w:pPr>
        <w:ind w:firstLine="709"/>
      </w:pPr>
      <w:r>
        <w:t xml:space="preserve">пункт </w:t>
      </w:r>
      <w:r w:rsidR="00090F54" w:rsidRPr="007500B5">
        <w:t xml:space="preserve">після підпункту </w:t>
      </w:r>
      <w:r>
        <w:t>1</w:t>
      </w:r>
      <w:r w:rsidR="00090F54" w:rsidRPr="007500B5">
        <w:t xml:space="preserve"> доповнити новим підпунктом 1</w:t>
      </w:r>
      <w:r w:rsidR="00090F54" w:rsidRPr="007500B5">
        <w:rPr>
          <w:vertAlign w:val="superscript"/>
        </w:rPr>
        <w:t>1</w:t>
      </w:r>
      <w:r w:rsidR="00090F54" w:rsidRPr="007500B5">
        <w:t xml:space="preserve"> такого змісту:</w:t>
      </w:r>
    </w:p>
    <w:p w14:paraId="30DADE0A" w14:textId="57D6FFAC" w:rsidR="00090F54" w:rsidRPr="007500B5" w:rsidRDefault="00090F54" w:rsidP="007500B5">
      <w:pPr>
        <w:ind w:firstLine="709"/>
      </w:pPr>
      <w:r w:rsidRPr="007500B5">
        <w:t>“1</w:t>
      </w:r>
      <w:r w:rsidRPr="007500B5">
        <w:rPr>
          <w:vertAlign w:val="superscript"/>
        </w:rPr>
        <w:t>1</w:t>
      </w:r>
      <w:r w:rsidRPr="007500B5">
        <w:t xml:space="preserve">) </w:t>
      </w:r>
      <w:r w:rsidR="0034353E" w:rsidRPr="0034353E">
        <w:t xml:space="preserve">залишає раніше надане розпорядження без виконання та надає депозитарній установі інформацію про його відміну засобами системи електронної пошти Національного банку, якщо раніше надане розпорядження було надане депозитарію Національного банку засобами системи електронної пошти Національного банку або у формі паперового документа та ще не було направлено до іноземного депозитарію. </w:t>
      </w:r>
      <w:r w:rsidR="008B51E0">
        <w:t>Д</w:t>
      </w:r>
      <w:r w:rsidR="008B51E0" w:rsidRPr="0034353E">
        <w:t xml:space="preserve">епозитарій Національного банку надає депозитарній установі інформацію про відміну раніше наданого розпорядження </w:t>
      </w:r>
      <w:r w:rsidR="007813C2">
        <w:t>в паперовій формі</w:t>
      </w:r>
      <w:r w:rsidR="008B51E0">
        <w:t>, якщо надати</w:t>
      </w:r>
      <w:r w:rsidR="008B51E0" w:rsidRPr="0034353E">
        <w:t xml:space="preserve"> таку інформацію </w:t>
      </w:r>
      <w:r w:rsidR="007813C2" w:rsidRPr="0034353E">
        <w:t>засобами системи електронної пошти Національного банку</w:t>
      </w:r>
      <w:r w:rsidR="007813C2" w:rsidRPr="0034353E" w:rsidDel="008B51E0">
        <w:t xml:space="preserve"> </w:t>
      </w:r>
      <w:r w:rsidR="0034353E" w:rsidRPr="0034353E">
        <w:t xml:space="preserve"> неможливо;</w:t>
      </w:r>
      <w:r w:rsidRPr="007500B5">
        <w:t>”;</w:t>
      </w:r>
    </w:p>
    <w:p w14:paraId="5784F176" w14:textId="284E692D" w:rsidR="003668EA" w:rsidRPr="007500B5" w:rsidRDefault="003668EA" w:rsidP="007500B5">
      <w:pPr>
        <w:ind w:firstLine="709"/>
      </w:pPr>
      <w:r w:rsidRPr="007500B5">
        <w:t>підпункт 2</w:t>
      </w:r>
      <w:r w:rsidR="00634A4F">
        <w:t xml:space="preserve"> викласти в такій редакції</w:t>
      </w:r>
      <w:r w:rsidRPr="007500B5">
        <w:t>:</w:t>
      </w:r>
    </w:p>
    <w:p w14:paraId="28B51E53" w14:textId="3D2BCEA7" w:rsidR="003668EA" w:rsidRPr="007500B5" w:rsidRDefault="003668EA" w:rsidP="00634A4F">
      <w:pPr>
        <w:ind w:firstLine="709"/>
      </w:pPr>
      <w:r w:rsidRPr="007500B5">
        <w:t>“</w:t>
      </w:r>
      <w:r w:rsidR="00634A4F" w:rsidRPr="00634A4F">
        <w:t>2) надсилає до іноземного депозитарію розпорядження про відміну, якщо раніше надане розпорядження вже було направлено до іноземного депозитарію депозитарієм Національного банку, за умови, якщо можливість такої відміни передбачена регламентом роботи іноземного депозитарію та/або умовами корпоративної операції (події), і в разі отримання підтвердження про відміну від іноземного депозитарію здійснює відміну розпорядження в системі депозитарного обліку депозитарію Національного банку засобами системи автоматизації депозитарію Національного банку, якщо розпорядження надавалося депозитарію Національного банку засобами системи автоматизації депозитарію Національного банку або надає депозитарній установі інформацію про відміну розпорядження засобами системи електронної пошти Національного банку. Депозитарій Національного банку надає депозитарній установі інформацію про відміну раніше наданого розпорядження в паперовій формі, якщо надати таку інформацію засобами системи електронної пошти Національного банку неможливо.</w:t>
      </w:r>
      <w:r w:rsidRPr="007500B5">
        <w:t>”;</w:t>
      </w:r>
    </w:p>
    <w:p w14:paraId="47592B0C" w14:textId="54A3BF6C" w:rsidR="003668EA" w:rsidRPr="007500B5" w:rsidRDefault="003668EA" w:rsidP="007500B5">
      <w:pPr>
        <w:ind w:firstLine="709"/>
      </w:pPr>
      <w:r w:rsidRPr="007500B5">
        <w:t xml:space="preserve">абзац п’ятий доповнити словами “, </w:t>
      </w:r>
      <w:r w:rsidR="00865252" w:rsidRPr="00865252">
        <w:t>якщо розпорядження надавалося депозитарію Національного банку засобами системи автоматизації депозитарію Національного банку або надсилає депозитарній установі засобами системи електронної пошти Національного банку або у паперовому вигляді інформацію про неможливість виконання розпорядження про відміну</w:t>
      </w:r>
      <w:r w:rsidRPr="007500B5">
        <w:t>”;</w:t>
      </w:r>
    </w:p>
    <w:p w14:paraId="42D53D7B" w14:textId="1FD60BEF" w:rsidR="003668EA" w:rsidRPr="007500B5" w:rsidRDefault="003668EA" w:rsidP="007500B5">
      <w:pPr>
        <w:ind w:firstLine="709"/>
      </w:pPr>
      <w:r w:rsidRPr="007500B5">
        <w:t xml:space="preserve">пункт </w:t>
      </w:r>
      <w:r w:rsidR="00011184">
        <w:t xml:space="preserve">доповнити </w:t>
      </w:r>
      <w:r w:rsidRPr="007500B5">
        <w:t>новим абзацом такого змісту:</w:t>
      </w:r>
    </w:p>
    <w:p w14:paraId="09A47486" w14:textId="6E6EB9BD" w:rsidR="003668EA" w:rsidRPr="007500B5" w:rsidRDefault="003668EA" w:rsidP="007500B5">
      <w:pPr>
        <w:ind w:firstLine="709"/>
      </w:pPr>
      <w:r w:rsidRPr="007500B5">
        <w:t>“</w:t>
      </w:r>
      <w:r w:rsidR="00865252" w:rsidRPr="00865252">
        <w:t>Депозитарна установа, якщо розпорядження було надане засобами системи електронної пошти Національного банку або в паперовій формі може надати розпорядження на відміну раніше наданого розпорядження шляхом заміни раніше наданого розпорядження новим. Розпорядження на заміну раніше наданого розпорядження надається депозитарною установою засобами системи електронної пошти Національного банку або в паперовій формі. Депозитарій Національного банку опрацьовує розпорядження на заміну раніше наданого розпорядження</w:t>
      </w:r>
      <w:r w:rsidR="00C92BDD">
        <w:t xml:space="preserve"> та відміняє раніше надане розпорядження</w:t>
      </w:r>
      <w:r w:rsidR="00865252" w:rsidRPr="00865252">
        <w:t xml:space="preserve"> в порядку, встановленому в </w:t>
      </w:r>
      <w:r w:rsidR="006D58A6" w:rsidRPr="006D58A6">
        <w:t>підпунктах 1</w:t>
      </w:r>
      <w:r w:rsidR="006D58A6" w:rsidRPr="006F11C2">
        <w:rPr>
          <w:vertAlign w:val="superscript"/>
        </w:rPr>
        <w:t>1</w:t>
      </w:r>
      <w:r w:rsidR="006D58A6" w:rsidRPr="006D58A6">
        <w:t>,</w:t>
      </w:r>
      <w:r w:rsidR="00B97EC5">
        <w:t xml:space="preserve"> </w:t>
      </w:r>
      <w:r w:rsidR="006D58A6" w:rsidRPr="006D58A6">
        <w:t xml:space="preserve">2 та абзаці п’ятому </w:t>
      </w:r>
      <w:r w:rsidR="006D58A6" w:rsidRPr="00865252">
        <w:t>пункт</w:t>
      </w:r>
      <w:r w:rsidR="006D58A6">
        <w:t>у</w:t>
      </w:r>
      <w:r w:rsidR="006D58A6" w:rsidRPr="00865252">
        <w:t xml:space="preserve"> </w:t>
      </w:r>
      <w:r w:rsidR="00865252" w:rsidRPr="00865252">
        <w:t>262 глави 33 розділу IV цього Положення.</w:t>
      </w:r>
      <w:r w:rsidRPr="007500B5">
        <w:t>”;</w:t>
      </w:r>
    </w:p>
    <w:p w14:paraId="0516EE2F" w14:textId="77777777" w:rsidR="00272E67" w:rsidRPr="007500B5" w:rsidRDefault="00272E67" w:rsidP="007500B5">
      <w:pPr>
        <w:ind w:firstLine="709"/>
      </w:pPr>
      <w:r w:rsidRPr="007500B5">
        <w:t>у пункті 267:</w:t>
      </w:r>
    </w:p>
    <w:p w14:paraId="5BBC28B6" w14:textId="77777777" w:rsidR="00CB3D7B" w:rsidRPr="007500B5" w:rsidRDefault="00CB3D7B" w:rsidP="007500B5">
      <w:pPr>
        <w:ind w:firstLine="709"/>
      </w:pPr>
      <w:r w:rsidRPr="007500B5">
        <w:t>в абзаці першому:</w:t>
      </w:r>
    </w:p>
    <w:p w14:paraId="633BDF37" w14:textId="28D87D60" w:rsidR="00F7152B" w:rsidRDefault="003A01A2" w:rsidP="007500B5">
      <w:pPr>
        <w:ind w:firstLine="709"/>
      </w:pPr>
      <w:r w:rsidRPr="007500B5">
        <w:t xml:space="preserve">перше </w:t>
      </w:r>
      <w:r w:rsidR="00F9590B">
        <w:t xml:space="preserve"> та друге </w:t>
      </w:r>
      <w:r w:rsidRPr="007500B5">
        <w:t xml:space="preserve">речення </w:t>
      </w:r>
      <w:r w:rsidR="00F7152B">
        <w:t>викласти в такій редакції:</w:t>
      </w:r>
    </w:p>
    <w:p w14:paraId="36FB0483" w14:textId="12C6A231" w:rsidR="00BA75D9" w:rsidRPr="00BA75D9" w:rsidRDefault="009648B0">
      <w:pPr>
        <w:ind w:firstLine="709"/>
      </w:pPr>
      <w:r w:rsidRPr="007500B5">
        <w:t xml:space="preserve"> “</w:t>
      </w:r>
      <w:r w:rsidR="00F7152B" w:rsidRPr="00F7152B">
        <w:t>267. Депозитарій Національного банку для обслуговування виплати доходів та/або погашень та/або інших виплат за ОЗДП та державними деривативами повідомляє депозитарні установи про очікувані виплати доходів та/або погашень, інші виплати на підставі інформації, отриманої від іноземного депозитарію.</w:t>
      </w:r>
      <w:r w:rsidR="00F9590B">
        <w:t xml:space="preserve"> </w:t>
      </w:r>
      <w:r w:rsidR="00F9590B" w:rsidRPr="00F9590B">
        <w:t xml:space="preserve">Депозитарій Національного банку надсилає повідомлення депозитарним установам, на рахунках яких обліковуються відповідні ОЗДП та державні деривативи на дату отримання інформації про виплату доходів та/або погашення, інші виплати від іноземного депозитарію, засобами системи електронної пошти Національного банку. </w:t>
      </w:r>
      <w:r w:rsidRPr="007500B5">
        <w:t>”;</w:t>
      </w:r>
    </w:p>
    <w:p w14:paraId="56E8DC52" w14:textId="6E8BEEFF" w:rsidR="00747479" w:rsidRDefault="00F062D8" w:rsidP="007500B5">
      <w:pPr>
        <w:ind w:firstLine="709"/>
      </w:pPr>
      <w:r>
        <w:t xml:space="preserve">у </w:t>
      </w:r>
      <w:r w:rsidR="00747479">
        <w:t>трет</w:t>
      </w:r>
      <w:r>
        <w:t>ьому</w:t>
      </w:r>
      <w:r w:rsidR="00747479">
        <w:t xml:space="preserve"> </w:t>
      </w:r>
      <w:r>
        <w:t xml:space="preserve">реченні </w:t>
      </w:r>
      <w:r w:rsidR="00747479">
        <w:t xml:space="preserve">слово </w:t>
      </w:r>
      <w:r w:rsidR="00747479" w:rsidRPr="00571F58">
        <w:rPr>
          <w:lang w:val="ru-RU"/>
        </w:rPr>
        <w:t>“</w:t>
      </w:r>
      <w:r w:rsidR="00747479">
        <w:t>електронної</w:t>
      </w:r>
      <w:r w:rsidR="00747479" w:rsidRPr="00571F58">
        <w:rPr>
          <w:lang w:val="ru-RU"/>
        </w:rPr>
        <w:t>”</w:t>
      </w:r>
      <w:r w:rsidR="00747479">
        <w:t xml:space="preserve"> </w:t>
      </w:r>
      <w:r>
        <w:t xml:space="preserve">замінити </w:t>
      </w:r>
      <w:r w:rsidR="00747479">
        <w:t>словом</w:t>
      </w:r>
      <w:r w:rsidR="00747479" w:rsidRPr="00571F58">
        <w:rPr>
          <w:lang w:val="ru-RU"/>
        </w:rPr>
        <w:t xml:space="preserve"> “</w:t>
      </w:r>
      <w:r w:rsidR="00747479">
        <w:t>системи</w:t>
      </w:r>
      <w:r>
        <w:t xml:space="preserve"> електронної</w:t>
      </w:r>
      <w:r w:rsidR="00747479" w:rsidRPr="00571F58">
        <w:rPr>
          <w:lang w:val="ru-RU"/>
        </w:rPr>
        <w:t>”</w:t>
      </w:r>
      <w:r w:rsidR="00747479">
        <w:t>;</w:t>
      </w:r>
    </w:p>
    <w:p w14:paraId="3E59219C" w14:textId="77777777" w:rsidR="00E171F8" w:rsidRPr="007500B5" w:rsidRDefault="00E171F8" w:rsidP="007500B5">
      <w:pPr>
        <w:ind w:firstLine="709"/>
      </w:pPr>
      <w:r w:rsidRPr="007500B5">
        <w:t>абзац другий після слова “погашення” доповнити словами “, та/або інших виплат”;</w:t>
      </w:r>
    </w:p>
    <w:p w14:paraId="7C6B461E" w14:textId="77777777" w:rsidR="001E1984" w:rsidRPr="007500B5" w:rsidRDefault="001E1984" w:rsidP="007500B5">
      <w:pPr>
        <w:ind w:firstLine="709"/>
      </w:pPr>
      <w:r w:rsidRPr="007500B5">
        <w:t>абзаци третій, четвертий після слова “погашення” доповнити словами “, інших виплат”;</w:t>
      </w:r>
    </w:p>
    <w:p w14:paraId="33E0E4BA" w14:textId="095C8CA0" w:rsidR="00804756" w:rsidRDefault="00000027" w:rsidP="007500B5">
      <w:pPr>
        <w:ind w:firstLine="709"/>
      </w:pPr>
      <w:r w:rsidRPr="007500B5">
        <w:t xml:space="preserve">перше речення пункту 270 </w:t>
      </w:r>
      <w:r w:rsidR="00804756">
        <w:t>викласти в такій редакції:</w:t>
      </w:r>
    </w:p>
    <w:p w14:paraId="3A6DF50B" w14:textId="0858FF92" w:rsidR="00000027" w:rsidRPr="007500B5" w:rsidRDefault="00000027" w:rsidP="007500B5">
      <w:pPr>
        <w:ind w:firstLine="709"/>
      </w:pPr>
      <w:r w:rsidRPr="007500B5">
        <w:t xml:space="preserve"> “</w:t>
      </w:r>
      <w:r w:rsidR="0042702C">
        <w:t xml:space="preserve">270. </w:t>
      </w:r>
      <w:r w:rsidR="00804756" w:rsidRPr="00804756">
        <w:t xml:space="preserve">Емітент ОЗДП та державних деривативів згідно з вимогами та в строки, передбачені проспектом або рішенням про емісію ОЗДП або державних деривативів або умовами проведення корпоративної операції (події), забезпечує надходження відповідних сум коштів з виплати доходу та/або погашення за ОЗДП, та/або інших виплат та державними деривативами на відповідний рахунок депозитарію Національного банку в іноземному депозитарії. </w:t>
      </w:r>
      <w:r w:rsidRPr="007500B5">
        <w:t>”</w:t>
      </w:r>
      <w:r w:rsidR="00AA08FB" w:rsidRPr="007500B5">
        <w:t>;</w:t>
      </w:r>
    </w:p>
    <w:p w14:paraId="275E827C" w14:textId="77777777" w:rsidR="003F3865" w:rsidRDefault="003F3865" w:rsidP="007500B5">
      <w:pPr>
        <w:ind w:firstLine="709"/>
      </w:pPr>
      <w:r w:rsidRPr="007500B5">
        <w:t>абзац перший пункту 272 після слова “погашень” доповнити словами “, та/або інших виплат”;</w:t>
      </w:r>
    </w:p>
    <w:p w14:paraId="709DD450" w14:textId="73E4D53B" w:rsidR="004B77C2" w:rsidRPr="004B77C2" w:rsidRDefault="00747479">
      <w:pPr>
        <w:ind w:firstLine="709"/>
      </w:pPr>
      <w:r>
        <w:t xml:space="preserve">у </w:t>
      </w:r>
      <w:r w:rsidR="00940207">
        <w:t xml:space="preserve">першому реченні </w:t>
      </w:r>
      <w:r>
        <w:t>пункт</w:t>
      </w:r>
      <w:r w:rsidR="00940207">
        <w:t>у</w:t>
      </w:r>
      <w:r>
        <w:t xml:space="preserve"> 275</w:t>
      </w:r>
      <w:r w:rsidR="0042702C">
        <w:t xml:space="preserve"> </w:t>
      </w:r>
      <w:r w:rsidR="004B77C2">
        <w:t>слов</w:t>
      </w:r>
      <w:r w:rsidR="00004687">
        <w:t>а</w:t>
      </w:r>
      <w:r w:rsidR="004B77C2">
        <w:t xml:space="preserve"> </w:t>
      </w:r>
      <w:r w:rsidR="004B77C2" w:rsidRPr="00571F58">
        <w:rPr>
          <w:lang w:val="ru-RU"/>
        </w:rPr>
        <w:t>“</w:t>
      </w:r>
      <w:r w:rsidR="004B77C2">
        <w:t>електронної</w:t>
      </w:r>
      <w:r w:rsidR="004B77C2" w:rsidRPr="00571F58">
        <w:rPr>
          <w:lang w:val="ru-RU"/>
        </w:rPr>
        <w:t>”</w:t>
      </w:r>
      <w:r w:rsidR="00004687">
        <w:rPr>
          <w:lang w:val="ru-RU"/>
        </w:rPr>
        <w:t xml:space="preserve">, </w:t>
      </w:r>
      <w:r w:rsidR="00004687" w:rsidRPr="00571F58">
        <w:rPr>
          <w:lang w:val="ru-RU"/>
        </w:rPr>
        <w:t>“</w:t>
      </w:r>
      <w:r w:rsidR="00004687">
        <w:t>паперовому вигляді</w:t>
      </w:r>
      <w:r w:rsidR="00004687" w:rsidRPr="00571F58">
        <w:rPr>
          <w:lang w:val="ru-RU"/>
        </w:rPr>
        <w:t>”</w:t>
      </w:r>
      <w:r w:rsidR="004B77C2">
        <w:t xml:space="preserve"> </w:t>
      </w:r>
      <w:r w:rsidR="00940207">
        <w:t xml:space="preserve">замінити </w:t>
      </w:r>
      <w:r w:rsidR="00F376FE">
        <w:rPr>
          <w:lang w:val="ru-RU"/>
        </w:rPr>
        <w:t xml:space="preserve"> </w:t>
      </w:r>
      <w:r w:rsidR="00004687" w:rsidRPr="00B31E8D">
        <w:t>відповідно</w:t>
      </w:r>
      <w:r w:rsidR="00004687">
        <w:rPr>
          <w:lang w:val="ru-RU"/>
        </w:rPr>
        <w:t xml:space="preserve"> </w:t>
      </w:r>
      <w:r w:rsidR="00940207">
        <w:t>словами</w:t>
      </w:r>
      <w:r w:rsidR="00940207" w:rsidRPr="00571F58">
        <w:rPr>
          <w:lang w:val="ru-RU"/>
        </w:rPr>
        <w:t xml:space="preserve"> </w:t>
      </w:r>
      <w:r w:rsidR="004B77C2" w:rsidRPr="00571F58">
        <w:rPr>
          <w:lang w:val="ru-RU"/>
        </w:rPr>
        <w:t>“</w:t>
      </w:r>
      <w:r w:rsidR="004B77C2">
        <w:t>системи</w:t>
      </w:r>
      <w:r w:rsidR="00940207">
        <w:t xml:space="preserve"> електронної</w:t>
      </w:r>
      <w:r w:rsidR="004B77C2" w:rsidRPr="00571F58">
        <w:rPr>
          <w:lang w:val="ru-RU"/>
        </w:rPr>
        <w:t>”</w:t>
      </w:r>
      <w:r w:rsidR="00004687">
        <w:rPr>
          <w:lang w:val="ru-RU"/>
        </w:rPr>
        <w:t xml:space="preserve">, </w:t>
      </w:r>
      <w:r w:rsidR="00004687" w:rsidRPr="00571F58">
        <w:rPr>
          <w:lang w:val="ru-RU"/>
        </w:rPr>
        <w:t>“</w:t>
      </w:r>
      <w:r w:rsidR="00004687">
        <w:t>паперовій формі</w:t>
      </w:r>
      <w:r w:rsidR="00004687" w:rsidRPr="00571F58">
        <w:rPr>
          <w:lang w:val="ru-RU"/>
        </w:rPr>
        <w:t>”</w:t>
      </w:r>
      <w:r w:rsidR="004B77C2">
        <w:t>;</w:t>
      </w:r>
    </w:p>
    <w:p w14:paraId="71E6F965" w14:textId="04638300" w:rsidR="005A5C0B" w:rsidRDefault="005A5C0B" w:rsidP="00F376FE">
      <w:pPr>
        <w:ind w:firstLine="709"/>
      </w:pPr>
      <w:r>
        <w:t>у пункті 276:</w:t>
      </w:r>
    </w:p>
    <w:p w14:paraId="44FA8D1B" w14:textId="2CD52F59" w:rsidR="003F3865" w:rsidRPr="00B31E8D" w:rsidRDefault="003F3865" w:rsidP="007500B5">
      <w:pPr>
        <w:ind w:firstLine="709"/>
      </w:pPr>
      <w:r w:rsidRPr="007500B5">
        <w:t xml:space="preserve">перше речення  доповнити словами “, включаючи повідомлення, надання яких необхідне для </w:t>
      </w:r>
      <w:r w:rsidRPr="00B31E8D">
        <w:t xml:space="preserve">забезпечення участі депозитарних установ та/або їх депонентів/клієнтів, клієнтів </w:t>
      </w:r>
      <w:proofErr w:type="spellStart"/>
      <w:r w:rsidRPr="00B31E8D">
        <w:t>клієнтів</w:t>
      </w:r>
      <w:proofErr w:type="spellEnd"/>
      <w:r w:rsidRPr="00B31E8D">
        <w:t xml:space="preserve"> номінальних утримувачів в корпоративних операціях (подіях)”;</w:t>
      </w:r>
    </w:p>
    <w:p w14:paraId="5B04108F" w14:textId="64B4101D" w:rsidR="005A5C0B" w:rsidRPr="00B31E8D" w:rsidRDefault="00F376FE" w:rsidP="007500B5">
      <w:pPr>
        <w:ind w:firstLine="709"/>
      </w:pPr>
      <w:r w:rsidRPr="00B31E8D">
        <w:t xml:space="preserve">у другому реченні </w:t>
      </w:r>
      <w:r w:rsidR="005A5C0B" w:rsidRPr="00B31E8D">
        <w:t>слова “засобами електронної пошти Національного банку або в паперовому вигляді” замінити словами “</w:t>
      </w:r>
      <w:r w:rsidR="00F61E30" w:rsidRPr="00B31E8D">
        <w:t>засобами системи електронної пошти Національного банку або в паперовій формі</w:t>
      </w:r>
      <w:r w:rsidR="005A5C0B" w:rsidRPr="00B31E8D">
        <w:t>”</w:t>
      </w:r>
      <w:r w:rsidR="00F61E30" w:rsidRPr="00B31E8D">
        <w:t>;</w:t>
      </w:r>
    </w:p>
    <w:p w14:paraId="45FC304A" w14:textId="77777777" w:rsidR="003F3865" w:rsidRPr="007500B5" w:rsidRDefault="003F3865" w:rsidP="007500B5">
      <w:pPr>
        <w:ind w:firstLine="709"/>
      </w:pPr>
    </w:p>
    <w:p w14:paraId="76D567C3" w14:textId="4B3E66D3" w:rsidR="003F3865" w:rsidRPr="007500B5" w:rsidRDefault="003F3865" w:rsidP="007500B5">
      <w:pPr>
        <w:pStyle w:val="af3"/>
        <w:numPr>
          <w:ilvl w:val="0"/>
          <w:numId w:val="6"/>
        </w:numPr>
        <w:ind w:left="0" w:firstLine="709"/>
      </w:pPr>
      <w:r w:rsidRPr="007500B5">
        <w:t>у пункті 284</w:t>
      </w:r>
      <w:r w:rsidR="002147EF" w:rsidRPr="007500B5">
        <w:t xml:space="preserve"> глави 34 слова </w:t>
      </w:r>
      <w:r w:rsidR="00085AD3" w:rsidRPr="00035A12">
        <w:t>«</w:t>
      </w:r>
      <w:r w:rsidR="002147EF" w:rsidRPr="007500B5">
        <w:t>принципу “поставка цінних паперів без оплати”</w:t>
      </w:r>
      <w:r w:rsidR="00085AD3">
        <w:t xml:space="preserve"> </w:t>
      </w:r>
      <w:r w:rsidR="002147EF" w:rsidRPr="007500B5">
        <w:t>у порядку, передбаченому в главі</w:t>
      </w:r>
      <w:r w:rsidR="00085AD3" w:rsidRPr="00035A12">
        <w:t>»</w:t>
      </w:r>
      <w:r w:rsidR="002147EF" w:rsidRPr="007500B5">
        <w:t xml:space="preserve"> замінити словами та цифрами </w:t>
      </w:r>
      <w:r w:rsidR="00085AD3" w:rsidRPr="00035A12">
        <w:t>«</w:t>
      </w:r>
      <w:r w:rsidR="002147EF" w:rsidRPr="007500B5">
        <w:t>принципів “поставка цінних паперів проти оплати”,</w:t>
      </w:r>
      <w:r w:rsidR="00830372">
        <w:t xml:space="preserve"> </w:t>
      </w:r>
      <w:r w:rsidR="002147EF" w:rsidRPr="007500B5">
        <w:t>“поставка цінних паперів без оплати” у порядку, передбаченому в главах 27,</w:t>
      </w:r>
      <w:r w:rsidR="00085AD3" w:rsidRPr="00035A12">
        <w:t>»</w:t>
      </w:r>
      <w:r w:rsidR="002147EF" w:rsidRPr="007500B5">
        <w:t>.</w:t>
      </w:r>
    </w:p>
    <w:p w14:paraId="73FA9EB8" w14:textId="77777777" w:rsidR="005D4B6D" w:rsidRPr="006F11C2" w:rsidRDefault="005D4B6D" w:rsidP="00511813">
      <w:pPr>
        <w:ind w:firstLine="709"/>
      </w:pPr>
    </w:p>
    <w:p w14:paraId="70A7F4D9" w14:textId="77777777" w:rsidR="00277B2F" w:rsidRDefault="00277B2F" w:rsidP="00277B2F">
      <w:pPr>
        <w:pStyle w:val="af3"/>
        <w:numPr>
          <w:ilvl w:val="0"/>
          <w:numId w:val="1"/>
        </w:numPr>
      </w:pPr>
      <w:r>
        <w:t>У додатках до Положення:</w:t>
      </w:r>
    </w:p>
    <w:p w14:paraId="76691A58" w14:textId="77777777" w:rsidR="00277B2F" w:rsidRDefault="00277B2F" w:rsidP="00277B2F">
      <w:pPr>
        <w:pStyle w:val="af3"/>
        <w:ind w:left="1069"/>
      </w:pPr>
    </w:p>
    <w:p w14:paraId="3924A95D" w14:textId="77777777" w:rsidR="00277B2F" w:rsidRDefault="00277B2F" w:rsidP="00173B99">
      <w:pPr>
        <w:pStyle w:val="af3"/>
        <w:numPr>
          <w:ilvl w:val="0"/>
          <w:numId w:val="7"/>
        </w:numPr>
        <w:ind w:left="0" w:firstLine="709"/>
      </w:pPr>
      <w:r>
        <w:t>у додатку 1:</w:t>
      </w:r>
    </w:p>
    <w:p w14:paraId="4E823751" w14:textId="517AB76E" w:rsidR="00DE30CB" w:rsidRDefault="00DE30CB" w:rsidP="00173B99">
      <w:pPr>
        <w:ind w:firstLine="709"/>
      </w:pPr>
      <w:r>
        <w:t>пункт 1 доповнити новим підпунктом такого змісту:</w:t>
      </w:r>
    </w:p>
    <w:p w14:paraId="7490F2CB" w14:textId="6C560997" w:rsidR="00DE30CB" w:rsidRPr="00B31E8D" w:rsidRDefault="00DE30CB" w:rsidP="00173B99">
      <w:pPr>
        <w:ind w:firstLine="709"/>
      </w:pPr>
      <w:r w:rsidRPr="00B31E8D">
        <w:t xml:space="preserve">“15) </w:t>
      </w:r>
      <w:r w:rsidR="00F61E30" w:rsidRPr="00B31E8D">
        <w:t xml:space="preserve">за операціями з ОЗДП, які проводяться з використанням рахунку депозитарію Національного банку в іноземному депозитарії, отримувати від депозитарної установи інформацію про виявлені нею факти застосування до її депонента/клієнта та/або кінцевого </w:t>
      </w:r>
      <w:proofErr w:type="spellStart"/>
      <w:r w:rsidR="00F61E30" w:rsidRPr="00B31E8D">
        <w:t>бенефіціарного</w:t>
      </w:r>
      <w:proofErr w:type="spellEnd"/>
      <w:r w:rsidR="00F61E30" w:rsidRPr="00B31E8D">
        <w:t xml:space="preserve"> власника/власника істотної участі депонента/клієнта, на рахунку якого обліковуються ОЗДП, санкцій, включаючи санкції, застосовані іноземними державами (крім держав, які здійснили або здійснюють збройну агресію проти України у значенні, наведеному у Законі України  </w:t>
      </w:r>
      <w:r w:rsidR="00085AD3" w:rsidRPr="00B31E8D">
        <w:t>“</w:t>
      </w:r>
      <w:r w:rsidR="00F61E30" w:rsidRPr="00B31E8D">
        <w:t>Про оборону України</w:t>
      </w:r>
      <w:r w:rsidR="00085AD3" w:rsidRPr="00B31E8D">
        <w:t>”</w:t>
      </w:r>
      <w:r w:rsidR="00F61E30" w:rsidRPr="00B31E8D">
        <w:t>), міждержавними об’єднаннями або міжнародними організаціями, в обсязі, визначеному внутрішніми документами іноземного депозитарію та /або законодавством країни реєстрації іноземного депозитарію, та передавати таку інформацію іноземному депозитарію.</w:t>
      </w:r>
      <w:r w:rsidRPr="00B31E8D">
        <w:t>”;</w:t>
      </w:r>
    </w:p>
    <w:p w14:paraId="77BF43D0" w14:textId="07BD5161" w:rsidR="00DE30CB" w:rsidRDefault="00DE30CB" w:rsidP="00173B99">
      <w:pPr>
        <w:ind w:firstLine="709"/>
      </w:pPr>
      <w:r>
        <w:t>пункт 4 доповнити новим підпунктом</w:t>
      </w:r>
      <w:r w:rsidR="00085AD3" w:rsidRPr="006F11C2">
        <w:rPr>
          <w:lang w:val="ru-RU"/>
        </w:rPr>
        <w:t xml:space="preserve"> </w:t>
      </w:r>
      <w:r>
        <w:t>такого змісту:</w:t>
      </w:r>
    </w:p>
    <w:p w14:paraId="7F997C51" w14:textId="45894D1C" w:rsidR="00DE30CB" w:rsidRDefault="00DE30CB" w:rsidP="00173B99">
      <w:pPr>
        <w:ind w:firstLine="709"/>
      </w:pPr>
      <w:r w:rsidRPr="00571F58">
        <w:t xml:space="preserve">“13) </w:t>
      </w:r>
      <w:r w:rsidR="00F61E30" w:rsidRPr="00571F58">
        <w:t>здійснювати заходи,</w:t>
      </w:r>
      <w:r w:rsidR="00F61E30">
        <w:t xml:space="preserve"> </w:t>
      </w:r>
      <w:r w:rsidR="00F61E30" w:rsidRPr="00571F58">
        <w:t xml:space="preserve">що забезпечують дотримання вимог законодавства України у сфері реалізації спеціальних економічних та інших обмежувальних заходів (санкцій). За операціями з ОЗДП, які проводяться з використанням рахунку депозитарію Національного банку в іноземному депозитарії, додатково здійснювати заходи, що забезпечують дотримання вимог </w:t>
      </w:r>
      <w:proofErr w:type="spellStart"/>
      <w:r w:rsidR="00F61E30" w:rsidRPr="00571F58">
        <w:t>санкційного</w:t>
      </w:r>
      <w:proofErr w:type="spellEnd"/>
      <w:r w:rsidR="00F61E30" w:rsidRPr="00571F58">
        <w:t xml:space="preserve"> законодавства країни реєстрації іноземного депозитарію та внутрішніх документів іноземного депозитарію в питаннях моніторингу фінансових операцій на </w:t>
      </w:r>
      <w:proofErr w:type="spellStart"/>
      <w:r w:rsidR="00F61E30" w:rsidRPr="00571F58">
        <w:t>санкційні</w:t>
      </w:r>
      <w:proofErr w:type="spellEnd"/>
      <w:r w:rsidR="00F61E30" w:rsidRPr="00571F58">
        <w:t xml:space="preserve"> обмеження. </w:t>
      </w:r>
      <w:r w:rsidR="00F61E30" w:rsidRPr="000765D7">
        <w:t xml:space="preserve">У випадку виявлення депозитарною установою факту застосування до її депонента/клієнта та/або кінцевого </w:t>
      </w:r>
      <w:proofErr w:type="spellStart"/>
      <w:r w:rsidR="00F61E30" w:rsidRPr="000765D7">
        <w:t>бенефіціарного</w:t>
      </w:r>
      <w:proofErr w:type="spellEnd"/>
      <w:r w:rsidR="00F61E30" w:rsidRPr="000765D7">
        <w:t xml:space="preserve"> власника/власника істотної участі депонента/клієнта, на рахунку якого обліковуються ОЗДП, санкцій, включаючи санкції, застосовані іноземними державами (крім держав, які здійснили або здійснюють збройну агресію проти України у значенні, наведеному у Законі України  </w:t>
      </w:r>
      <w:r w:rsidR="00085AD3" w:rsidRPr="006F11C2">
        <w:t>“</w:t>
      </w:r>
      <w:r w:rsidR="00F61E30" w:rsidRPr="000765D7">
        <w:t>Про оборону України</w:t>
      </w:r>
      <w:r w:rsidR="00085AD3" w:rsidRPr="006F11C2">
        <w:t>”</w:t>
      </w:r>
      <w:r w:rsidR="00F61E30" w:rsidRPr="000765D7">
        <w:t>), міждержавними об’єднаннями або міжнародними організаціями, невідкладно повідомляти про цей факт депозитарій Національного банку.</w:t>
      </w:r>
      <w:r w:rsidRPr="000765D7">
        <w:t>”</w:t>
      </w:r>
      <w:r>
        <w:t>;</w:t>
      </w:r>
    </w:p>
    <w:p w14:paraId="74C3E5DF" w14:textId="77777777" w:rsidR="003E4164" w:rsidRDefault="003E4164" w:rsidP="00173B99">
      <w:pPr>
        <w:ind w:firstLine="709"/>
      </w:pPr>
    </w:p>
    <w:p w14:paraId="3E433613" w14:textId="77777777" w:rsidR="00B92FC4" w:rsidRDefault="00B92FC4" w:rsidP="00173B99">
      <w:pPr>
        <w:pStyle w:val="af3"/>
        <w:numPr>
          <w:ilvl w:val="0"/>
          <w:numId w:val="7"/>
        </w:numPr>
        <w:ind w:left="0" w:firstLine="709"/>
      </w:pPr>
      <w:r>
        <w:t>у таблиці додатка 2:</w:t>
      </w:r>
    </w:p>
    <w:p w14:paraId="337E3A1D" w14:textId="3F600EFA" w:rsidR="00B92FC4" w:rsidRDefault="00085AD3" w:rsidP="00173B99">
      <w:pPr>
        <w:ind w:firstLine="709"/>
      </w:pPr>
      <w:r>
        <w:t xml:space="preserve">таблицю </w:t>
      </w:r>
      <w:r w:rsidR="00007A79">
        <w:t>після рядка 18 доповнити новим рядком 19 такого змісту:</w:t>
      </w:r>
    </w:p>
    <w:p w14:paraId="0C8841C1" w14:textId="77777777" w:rsidR="00007A79" w:rsidRDefault="00007A79" w:rsidP="00BC6E1D">
      <w:pPr>
        <w:ind w:left="-709" w:firstLine="709"/>
        <w:rPr>
          <w:lang w:val="en-US"/>
        </w:rPr>
      </w:pPr>
      <w:r>
        <w:rPr>
          <w:lang w:val="en-US"/>
        </w:rPr>
        <w:t>“</w:t>
      </w:r>
    </w:p>
    <w:tbl>
      <w:tblPr>
        <w:tblStyle w:val="a9"/>
        <w:tblW w:w="0" w:type="auto"/>
        <w:tblLook w:val="04A0" w:firstRow="1" w:lastRow="0" w:firstColumn="1" w:lastColumn="0" w:noHBand="0" w:noVBand="1"/>
      </w:tblPr>
      <w:tblGrid>
        <w:gridCol w:w="496"/>
        <w:gridCol w:w="758"/>
        <w:gridCol w:w="1100"/>
        <w:gridCol w:w="4445"/>
        <w:gridCol w:w="356"/>
        <w:gridCol w:w="992"/>
        <w:gridCol w:w="1276"/>
      </w:tblGrid>
      <w:tr w:rsidR="008000F4" w:rsidRPr="00D263D2" w14:paraId="41DEF0C4" w14:textId="77777777" w:rsidTr="00BC6E1D">
        <w:tc>
          <w:tcPr>
            <w:tcW w:w="496" w:type="dxa"/>
          </w:tcPr>
          <w:p w14:paraId="2A2B6F76" w14:textId="6BA2180B" w:rsidR="008000F4" w:rsidRPr="00D263D2" w:rsidRDefault="008000F4" w:rsidP="006F11C2">
            <w:pPr>
              <w:jc w:val="center"/>
              <w:rPr>
                <w:color w:val="000000"/>
              </w:rPr>
            </w:pPr>
            <w:r>
              <w:rPr>
                <w:color w:val="000000"/>
              </w:rPr>
              <w:t>1</w:t>
            </w:r>
          </w:p>
        </w:tc>
        <w:tc>
          <w:tcPr>
            <w:tcW w:w="758" w:type="dxa"/>
          </w:tcPr>
          <w:p w14:paraId="5F5FC646" w14:textId="0DA09157" w:rsidR="008000F4" w:rsidRPr="00D263D2" w:rsidRDefault="008000F4" w:rsidP="006F11C2">
            <w:pPr>
              <w:jc w:val="center"/>
              <w:rPr>
                <w:color w:val="000000"/>
              </w:rPr>
            </w:pPr>
            <w:r>
              <w:rPr>
                <w:color w:val="000000"/>
              </w:rPr>
              <w:t>2</w:t>
            </w:r>
          </w:p>
        </w:tc>
        <w:tc>
          <w:tcPr>
            <w:tcW w:w="1100" w:type="dxa"/>
          </w:tcPr>
          <w:p w14:paraId="78466569" w14:textId="1F93B279" w:rsidR="008000F4" w:rsidRPr="00D263D2" w:rsidRDefault="008000F4" w:rsidP="006F11C2">
            <w:pPr>
              <w:jc w:val="center"/>
              <w:rPr>
                <w:color w:val="000000"/>
              </w:rPr>
            </w:pPr>
            <w:r>
              <w:rPr>
                <w:color w:val="000000"/>
              </w:rPr>
              <w:t>3</w:t>
            </w:r>
          </w:p>
        </w:tc>
        <w:tc>
          <w:tcPr>
            <w:tcW w:w="4445" w:type="dxa"/>
          </w:tcPr>
          <w:p w14:paraId="3FAD6242" w14:textId="5FF11B59" w:rsidR="008000F4" w:rsidRPr="00D263D2" w:rsidRDefault="008000F4" w:rsidP="006F11C2">
            <w:pPr>
              <w:jc w:val="center"/>
              <w:rPr>
                <w:color w:val="000000"/>
              </w:rPr>
            </w:pPr>
            <w:r>
              <w:rPr>
                <w:color w:val="000000"/>
              </w:rPr>
              <w:t>4</w:t>
            </w:r>
          </w:p>
        </w:tc>
        <w:tc>
          <w:tcPr>
            <w:tcW w:w="356" w:type="dxa"/>
          </w:tcPr>
          <w:p w14:paraId="799F5437" w14:textId="05AB35E1" w:rsidR="008000F4" w:rsidRPr="00D263D2" w:rsidRDefault="008000F4" w:rsidP="006F11C2">
            <w:pPr>
              <w:jc w:val="center"/>
              <w:rPr>
                <w:color w:val="000000"/>
              </w:rPr>
            </w:pPr>
            <w:r>
              <w:rPr>
                <w:color w:val="000000"/>
              </w:rPr>
              <w:t>5</w:t>
            </w:r>
          </w:p>
        </w:tc>
        <w:tc>
          <w:tcPr>
            <w:tcW w:w="992" w:type="dxa"/>
          </w:tcPr>
          <w:p w14:paraId="706EC4CD" w14:textId="520D9720" w:rsidR="008000F4" w:rsidRPr="00D263D2" w:rsidRDefault="008000F4" w:rsidP="006F11C2">
            <w:pPr>
              <w:jc w:val="center"/>
              <w:rPr>
                <w:color w:val="000000"/>
              </w:rPr>
            </w:pPr>
            <w:r>
              <w:rPr>
                <w:color w:val="000000"/>
              </w:rPr>
              <w:t>6</w:t>
            </w:r>
          </w:p>
        </w:tc>
        <w:tc>
          <w:tcPr>
            <w:tcW w:w="1276" w:type="dxa"/>
          </w:tcPr>
          <w:p w14:paraId="6480F25E" w14:textId="4FCEB0E1" w:rsidR="008000F4" w:rsidRPr="00D263D2" w:rsidRDefault="008000F4" w:rsidP="006F11C2">
            <w:pPr>
              <w:jc w:val="center"/>
              <w:rPr>
                <w:color w:val="000000"/>
              </w:rPr>
            </w:pPr>
            <w:r>
              <w:rPr>
                <w:color w:val="000000"/>
              </w:rPr>
              <w:t>7</w:t>
            </w:r>
          </w:p>
        </w:tc>
      </w:tr>
      <w:tr w:rsidR="00007A79" w:rsidRPr="00D263D2" w14:paraId="5D90B20B" w14:textId="77777777" w:rsidTr="00BC6E1D">
        <w:tc>
          <w:tcPr>
            <w:tcW w:w="496" w:type="dxa"/>
          </w:tcPr>
          <w:p w14:paraId="624F4D12" w14:textId="77777777" w:rsidR="00007A79" w:rsidRPr="00D263D2" w:rsidRDefault="00007A79" w:rsidP="00007A79">
            <w:pPr>
              <w:jc w:val="left"/>
              <w:rPr>
                <w:color w:val="000000"/>
              </w:rPr>
            </w:pPr>
            <w:r w:rsidRPr="00D263D2">
              <w:rPr>
                <w:color w:val="000000"/>
              </w:rPr>
              <w:t>19</w:t>
            </w:r>
          </w:p>
        </w:tc>
        <w:tc>
          <w:tcPr>
            <w:tcW w:w="758" w:type="dxa"/>
          </w:tcPr>
          <w:p w14:paraId="174CA214" w14:textId="77777777" w:rsidR="00007A79" w:rsidRPr="00D263D2" w:rsidRDefault="00007A79" w:rsidP="00007A79">
            <w:pPr>
              <w:jc w:val="left"/>
              <w:rPr>
                <w:color w:val="000000"/>
              </w:rPr>
            </w:pPr>
          </w:p>
        </w:tc>
        <w:tc>
          <w:tcPr>
            <w:tcW w:w="1100" w:type="dxa"/>
          </w:tcPr>
          <w:p w14:paraId="71F29A60" w14:textId="77777777" w:rsidR="00007A79" w:rsidRPr="00D263D2" w:rsidRDefault="00007A79" w:rsidP="00007A79">
            <w:pPr>
              <w:jc w:val="left"/>
              <w:rPr>
                <w:color w:val="000000"/>
              </w:rPr>
            </w:pPr>
          </w:p>
        </w:tc>
        <w:tc>
          <w:tcPr>
            <w:tcW w:w="4445" w:type="dxa"/>
          </w:tcPr>
          <w:p w14:paraId="03194F29" w14:textId="77777777" w:rsidR="00007A79" w:rsidRPr="00D263D2" w:rsidRDefault="00007A79" w:rsidP="00007A79">
            <w:pPr>
              <w:jc w:val="left"/>
              <w:rPr>
                <w:color w:val="000000"/>
              </w:rPr>
            </w:pPr>
            <w:r w:rsidRPr="00D263D2">
              <w:rPr>
                <w:color w:val="000000"/>
              </w:rPr>
              <w:t>для здійснення розрахунків за результатами розміщення під час аукціону з обміну ОВДП</w:t>
            </w:r>
          </w:p>
        </w:tc>
        <w:tc>
          <w:tcPr>
            <w:tcW w:w="356" w:type="dxa"/>
          </w:tcPr>
          <w:p w14:paraId="7CFE9C27" w14:textId="77777777" w:rsidR="00007A79" w:rsidRPr="00D263D2" w:rsidRDefault="00007A79" w:rsidP="00007A79">
            <w:pPr>
              <w:jc w:val="left"/>
              <w:rPr>
                <w:color w:val="000000"/>
              </w:rPr>
            </w:pPr>
            <w:r w:rsidRPr="00D263D2">
              <w:rPr>
                <w:color w:val="000000"/>
              </w:rPr>
              <w:t>0</w:t>
            </w:r>
          </w:p>
        </w:tc>
        <w:tc>
          <w:tcPr>
            <w:tcW w:w="992" w:type="dxa"/>
          </w:tcPr>
          <w:p w14:paraId="4EB97037" w14:textId="77777777" w:rsidR="00007A79" w:rsidRPr="00D263D2" w:rsidRDefault="00007A79" w:rsidP="00007A79">
            <w:pPr>
              <w:jc w:val="left"/>
              <w:rPr>
                <w:color w:val="000000"/>
              </w:rPr>
            </w:pPr>
            <w:r w:rsidRPr="00D263D2">
              <w:rPr>
                <w:color w:val="000000"/>
              </w:rPr>
              <w:t>040</w:t>
            </w:r>
          </w:p>
        </w:tc>
        <w:tc>
          <w:tcPr>
            <w:tcW w:w="1276" w:type="dxa"/>
          </w:tcPr>
          <w:p w14:paraId="3B12DC0D" w14:textId="77777777" w:rsidR="00007A79" w:rsidRPr="00D263D2" w:rsidRDefault="00007A79" w:rsidP="00007A79">
            <w:pPr>
              <w:jc w:val="left"/>
              <w:rPr>
                <w:color w:val="000000"/>
              </w:rPr>
            </w:pPr>
            <w:r w:rsidRPr="00D263D2">
              <w:rPr>
                <w:color w:val="000000"/>
              </w:rPr>
              <w:t>220040</w:t>
            </w:r>
          </w:p>
        </w:tc>
      </w:tr>
    </w:tbl>
    <w:p w14:paraId="130B293D" w14:textId="77777777" w:rsidR="00007A79" w:rsidRDefault="00007A79" w:rsidP="00D263D2">
      <w:pPr>
        <w:ind w:left="709"/>
        <w:jc w:val="right"/>
      </w:pPr>
      <w:r>
        <w:rPr>
          <w:lang w:val="en-US"/>
        </w:rPr>
        <w:t>”</w:t>
      </w:r>
      <w:r w:rsidR="008B4DF8">
        <w:t>.</w:t>
      </w:r>
    </w:p>
    <w:p w14:paraId="2E39C973" w14:textId="77777777" w:rsidR="008B4DF8" w:rsidRDefault="008B4DF8" w:rsidP="008B4DF8">
      <w:pPr>
        <w:ind w:left="709"/>
      </w:pPr>
      <w:r>
        <w:t>У зв’язку з цим рядки 19-171 уважати відповідно рядками 20-172;</w:t>
      </w:r>
    </w:p>
    <w:p w14:paraId="148146F7" w14:textId="12BDB6B1" w:rsidR="001642EE" w:rsidRDefault="001642EE" w:rsidP="008B4DF8">
      <w:pPr>
        <w:ind w:left="709"/>
      </w:pPr>
      <w:r>
        <w:t xml:space="preserve">колонку </w:t>
      </w:r>
      <w:r w:rsidR="008B4DF8">
        <w:t xml:space="preserve">5 рядків 73, 74 </w:t>
      </w:r>
      <w:r>
        <w:t>викласти в такій редакції:</w:t>
      </w:r>
    </w:p>
    <w:p w14:paraId="7FC1F703" w14:textId="55198F56" w:rsidR="001642EE" w:rsidRDefault="008B4DF8">
      <w:pPr>
        <w:ind w:left="709"/>
      </w:pPr>
      <w:r>
        <w:t xml:space="preserve"> </w:t>
      </w:r>
      <w:r w:rsidRPr="00571F58">
        <w:rPr>
          <w:lang w:val="ru-RU"/>
        </w:rPr>
        <w:t>“0”</w:t>
      </w:r>
      <w:r>
        <w:t>;</w:t>
      </w:r>
    </w:p>
    <w:p w14:paraId="5713BB28" w14:textId="509CCA15" w:rsidR="008B4DF8" w:rsidRDefault="002B20C4" w:rsidP="006F11C2">
      <w:pPr>
        <w:ind w:firstLine="709"/>
      </w:pPr>
      <w:r>
        <w:t xml:space="preserve">таблицю </w:t>
      </w:r>
      <w:r w:rsidR="008B4DF8">
        <w:t>після рядка 74 доповнити шістьма новими рядками 75-80 такого змісту:</w:t>
      </w:r>
    </w:p>
    <w:p w14:paraId="2AFFD575" w14:textId="77777777" w:rsidR="00882BA4" w:rsidRDefault="008B4DF8" w:rsidP="00BC6E1D">
      <w:pPr>
        <w:rPr>
          <w:lang w:val="en-US"/>
        </w:rPr>
      </w:pPr>
      <w:r>
        <w:rPr>
          <w:lang w:val="en-US"/>
        </w:rPr>
        <w:t>“</w:t>
      </w:r>
    </w:p>
    <w:tbl>
      <w:tblPr>
        <w:tblStyle w:val="a9"/>
        <w:tblW w:w="0" w:type="auto"/>
        <w:tblLook w:val="04A0" w:firstRow="1" w:lastRow="0" w:firstColumn="1" w:lastColumn="0" w:noHBand="0" w:noVBand="1"/>
      </w:tblPr>
      <w:tblGrid>
        <w:gridCol w:w="496"/>
        <w:gridCol w:w="758"/>
        <w:gridCol w:w="1100"/>
        <w:gridCol w:w="4304"/>
        <w:gridCol w:w="567"/>
        <w:gridCol w:w="992"/>
        <w:gridCol w:w="1276"/>
      </w:tblGrid>
      <w:tr w:rsidR="003E4164" w:rsidRPr="00882BA4" w14:paraId="3DBC9444" w14:textId="77777777" w:rsidTr="00BC6E1D">
        <w:tc>
          <w:tcPr>
            <w:tcW w:w="496" w:type="dxa"/>
          </w:tcPr>
          <w:p w14:paraId="6486ECA5" w14:textId="4858B572" w:rsidR="003E4164" w:rsidRPr="00882BA4" w:rsidRDefault="003E4164" w:rsidP="006F11C2">
            <w:pPr>
              <w:jc w:val="center"/>
              <w:rPr>
                <w:color w:val="000000"/>
              </w:rPr>
            </w:pPr>
            <w:r>
              <w:rPr>
                <w:color w:val="000000"/>
              </w:rPr>
              <w:t>1</w:t>
            </w:r>
          </w:p>
        </w:tc>
        <w:tc>
          <w:tcPr>
            <w:tcW w:w="758" w:type="dxa"/>
          </w:tcPr>
          <w:p w14:paraId="27316F8D" w14:textId="26B497D0" w:rsidR="003E4164" w:rsidRPr="00882BA4" w:rsidRDefault="003E4164" w:rsidP="006F11C2">
            <w:pPr>
              <w:jc w:val="center"/>
              <w:rPr>
                <w:color w:val="000000"/>
              </w:rPr>
            </w:pPr>
            <w:r>
              <w:rPr>
                <w:color w:val="000000"/>
              </w:rPr>
              <w:t>2</w:t>
            </w:r>
          </w:p>
        </w:tc>
        <w:tc>
          <w:tcPr>
            <w:tcW w:w="1100" w:type="dxa"/>
          </w:tcPr>
          <w:p w14:paraId="2E91467F" w14:textId="40CFAAE4" w:rsidR="003E4164" w:rsidRPr="00882BA4" w:rsidRDefault="003E4164" w:rsidP="006F11C2">
            <w:pPr>
              <w:jc w:val="center"/>
              <w:rPr>
                <w:color w:val="000000"/>
              </w:rPr>
            </w:pPr>
            <w:r>
              <w:rPr>
                <w:color w:val="000000"/>
              </w:rPr>
              <w:t>3</w:t>
            </w:r>
          </w:p>
        </w:tc>
        <w:tc>
          <w:tcPr>
            <w:tcW w:w="4304" w:type="dxa"/>
          </w:tcPr>
          <w:p w14:paraId="164A3A8D" w14:textId="551932C1" w:rsidR="003E4164" w:rsidRPr="00882BA4" w:rsidRDefault="003E4164" w:rsidP="006F11C2">
            <w:pPr>
              <w:jc w:val="center"/>
              <w:rPr>
                <w:color w:val="000000"/>
              </w:rPr>
            </w:pPr>
            <w:r>
              <w:rPr>
                <w:color w:val="000000"/>
              </w:rPr>
              <w:t>4</w:t>
            </w:r>
          </w:p>
        </w:tc>
        <w:tc>
          <w:tcPr>
            <w:tcW w:w="567" w:type="dxa"/>
          </w:tcPr>
          <w:p w14:paraId="38B4E07B" w14:textId="23F2354A" w:rsidR="003E4164" w:rsidRPr="00882BA4" w:rsidRDefault="003E4164" w:rsidP="006F11C2">
            <w:pPr>
              <w:jc w:val="center"/>
              <w:rPr>
                <w:color w:val="000000"/>
              </w:rPr>
            </w:pPr>
            <w:r>
              <w:rPr>
                <w:color w:val="000000"/>
              </w:rPr>
              <w:t>5</w:t>
            </w:r>
          </w:p>
        </w:tc>
        <w:tc>
          <w:tcPr>
            <w:tcW w:w="992" w:type="dxa"/>
          </w:tcPr>
          <w:p w14:paraId="0E149D70" w14:textId="5D5C5DC5" w:rsidR="003E4164" w:rsidRPr="00882BA4" w:rsidRDefault="003E4164" w:rsidP="006F11C2">
            <w:pPr>
              <w:jc w:val="center"/>
              <w:rPr>
                <w:color w:val="000000"/>
              </w:rPr>
            </w:pPr>
            <w:r>
              <w:rPr>
                <w:color w:val="000000"/>
              </w:rPr>
              <w:t>6</w:t>
            </w:r>
          </w:p>
        </w:tc>
        <w:tc>
          <w:tcPr>
            <w:tcW w:w="1276" w:type="dxa"/>
          </w:tcPr>
          <w:p w14:paraId="47E8817E" w14:textId="33E4547F" w:rsidR="003E4164" w:rsidRPr="00882BA4" w:rsidRDefault="003E4164" w:rsidP="006F11C2">
            <w:pPr>
              <w:jc w:val="center"/>
              <w:rPr>
                <w:color w:val="000000"/>
              </w:rPr>
            </w:pPr>
            <w:r>
              <w:rPr>
                <w:color w:val="000000"/>
              </w:rPr>
              <w:t>7</w:t>
            </w:r>
          </w:p>
        </w:tc>
      </w:tr>
      <w:tr w:rsidR="00882BA4" w:rsidRPr="00882BA4" w14:paraId="7E5F1129" w14:textId="77777777" w:rsidTr="00BC6E1D">
        <w:tc>
          <w:tcPr>
            <w:tcW w:w="496" w:type="dxa"/>
          </w:tcPr>
          <w:p w14:paraId="33ACC0DF" w14:textId="77777777" w:rsidR="00882BA4" w:rsidRPr="00882BA4" w:rsidRDefault="00882BA4" w:rsidP="00882BA4">
            <w:pPr>
              <w:jc w:val="left"/>
              <w:rPr>
                <w:color w:val="000000"/>
              </w:rPr>
            </w:pPr>
            <w:r w:rsidRPr="00882BA4">
              <w:rPr>
                <w:color w:val="000000"/>
              </w:rPr>
              <w:t>75</w:t>
            </w:r>
          </w:p>
        </w:tc>
        <w:tc>
          <w:tcPr>
            <w:tcW w:w="758" w:type="dxa"/>
          </w:tcPr>
          <w:p w14:paraId="056FFCEA" w14:textId="77777777" w:rsidR="00882BA4" w:rsidRPr="00882BA4" w:rsidRDefault="00882BA4" w:rsidP="00882BA4">
            <w:pPr>
              <w:jc w:val="left"/>
              <w:rPr>
                <w:color w:val="000000"/>
              </w:rPr>
            </w:pPr>
          </w:p>
        </w:tc>
        <w:tc>
          <w:tcPr>
            <w:tcW w:w="1100" w:type="dxa"/>
          </w:tcPr>
          <w:p w14:paraId="34463E94" w14:textId="77777777" w:rsidR="00882BA4" w:rsidRPr="00882BA4" w:rsidRDefault="00882BA4" w:rsidP="00882BA4">
            <w:pPr>
              <w:jc w:val="left"/>
              <w:rPr>
                <w:color w:val="000000"/>
              </w:rPr>
            </w:pPr>
          </w:p>
        </w:tc>
        <w:tc>
          <w:tcPr>
            <w:tcW w:w="4304" w:type="dxa"/>
          </w:tcPr>
          <w:p w14:paraId="05DB75A2" w14:textId="77777777" w:rsidR="00882BA4" w:rsidRPr="00882BA4" w:rsidRDefault="00882BA4" w:rsidP="00882BA4">
            <w:pPr>
              <w:jc w:val="left"/>
              <w:rPr>
                <w:color w:val="000000"/>
              </w:rPr>
            </w:pPr>
            <w:r w:rsidRPr="00882BA4">
              <w:rPr>
                <w:color w:val="000000"/>
              </w:rPr>
              <w:t>резидентам – фізичним особам і заблоковані для здійснення розрахунків за результатами розміщення під час аукціону з обміну ОВДП</w:t>
            </w:r>
          </w:p>
        </w:tc>
        <w:tc>
          <w:tcPr>
            <w:tcW w:w="567" w:type="dxa"/>
          </w:tcPr>
          <w:p w14:paraId="4F3C6E5D" w14:textId="77777777" w:rsidR="00882BA4" w:rsidRPr="00882BA4" w:rsidRDefault="00882BA4" w:rsidP="00882BA4">
            <w:pPr>
              <w:jc w:val="left"/>
              <w:rPr>
                <w:color w:val="000000"/>
              </w:rPr>
            </w:pPr>
            <w:r w:rsidRPr="00882BA4">
              <w:rPr>
                <w:color w:val="000000"/>
              </w:rPr>
              <w:t>0</w:t>
            </w:r>
          </w:p>
        </w:tc>
        <w:tc>
          <w:tcPr>
            <w:tcW w:w="992" w:type="dxa"/>
          </w:tcPr>
          <w:p w14:paraId="5C62CD8F" w14:textId="77777777" w:rsidR="00882BA4" w:rsidRPr="00882BA4" w:rsidRDefault="00882BA4" w:rsidP="00882BA4">
            <w:pPr>
              <w:jc w:val="left"/>
              <w:rPr>
                <w:color w:val="000000"/>
              </w:rPr>
            </w:pPr>
            <w:r w:rsidRPr="00882BA4">
              <w:rPr>
                <w:color w:val="000000"/>
              </w:rPr>
              <w:t>140</w:t>
            </w:r>
          </w:p>
        </w:tc>
        <w:tc>
          <w:tcPr>
            <w:tcW w:w="1276" w:type="dxa"/>
          </w:tcPr>
          <w:p w14:paraId="5574D6BE" w14:textId="77777777" w:rsidR="00882BA4" w:rsidRPr="00882BA4" w:rsidRDefault="00882BA4" w:rsidP="00882BA4">
            <w:pPr>
              <w:jc w:val="left"/>
              <w:rPr>
                <w:color w:val="000000"/>
              </w:rPr>
            </w:pPr>
            <w:r w:rsidRPr="00882BA4">
              <w:rPr>
                <w:color w:val="000000"/>
              </w:rPr>
              <w:t>420140</w:t>
            </w:r>
          </w:p>
        </w:tc>
      </w:tr>
      <w:tr w:rsidR="00882BA4" w:rsidRPr="00882BA4" w14:paraId="1580EEEA" w14:textId="77777777" w:rsidTr="00BC6E1D">
        <w:tc>
          <w:tcPr>
            <w:tcW w:w="496" w:type="dxa"/>
          </w:tcPr>
          <w:p w14:paraId="20223F71" w14:textId="77777777" w:rsidR="00882BA4" w:rsidRPr="00882BA4" w:rsidRDefault="00882BA4" w:rsidP="00882BA4">
            <w:pPr>
              <w:jc w:val="left"/>
              <w:rPr>
                <w:color w:val="000000"/>
              </w:rPr>
            </w:pPr>
            <w:r w:rsidRPr="00882BA4">
              <w:rPr>
                <w:color w:val="000000"/>
              </w:rPr>
              <w:t>76</w:t>
            </w:r>
          </w:p>
        </w:tc>
        <w:tc>
          <w:tcPr>
            <w:tcW w:w="758" w:type="dxa"/>
          </w:tcPr>
          <w:p w14:paraId="5CE89B1B" w14:textId="77777777" w:rsidR="00882BA4" w:rsidRPr="00882BA4" w:rsidRDefault="00882BA4" w:rsidP="00882BA4">
            <w:pPr>
              <w:jc w:val="left"/>
              <w:rPr>
                <w:color w:val="000000"/>
              </w:rPr>
            </w:pPr>
          </w:p>
        </w:tc>
        <w:tc>
          <w:tcPr>
            <w:tcW w:w="1100" w:type="dxa"/>
          </w:tcPr>
          <w:p w14:paraId="62933878" w14:textId="77777777" w:rsidR="00882BA4" w:rsidRPr="00882BA4" w:rsidRDefault="00882BA4" w:rsidP="00882BA4">
            <w:pPr>
              <w:jc w:val="left"/>
              <w:rPr>
                <w:color w:val="000000"/>
              </w:rPr>
            </w:pPr>
          </w:p>
        </w:tc>
        <w:tc>
          <w:tcPr>
            <w:tcW w:w="4304" w:type="dxa"/>
          </w:tcPr>
          <w:p w14:paraId="44EA2F62" w14:textId="77777777" w:rsidR="00882BA4" w:rsidRPr="00882BA4" w:rsidRDefault="00882BA4" w:rsidP="00882BA4">
            <w:pPr>
              <w:jc w:val="left"/>
              <w:rPr>
                <w:color w:val="000000"/>
              </w:rPr>
            </w:pPr>
            <w:r w:rsidRPr="00882BA4">
              <w:rPr>
                <w:color w:val="000000"/>
              </w:rPr>
              <w:t>нерезидентам і заблоковані для здійснення розрахунків за результатами розміщення під час аукціону з обміну ОВДП</w:t>
            </w:r>
          </w:p>
        </w:tc>
        <w:tc>
          <w:tcPr>
            <w:tcW w:w="567" w:type="dxa"/>
          </w:tcPr>
          <w:p w14:paraId="672889A2" w14:textId="77777777" w:rsidR="00882BA4" w:rsidRPr="00882BA4" w:rsidRDefault="00882BA4" w:rsidP="00882BA4">
            <w:pPr>
              <w:jc w:val="left"/>
              <w:rPr>
                <w:color w:val="000000"/>
              </w:rPr>
            </w:pPr>
            <w:r w:rsidRPr="00882BA4">
              <w:rPr>
                <w:color w:val="000000"/>
              </w:rPr>
              <w:t>0</w:t>
            </w:r>
          </w:p>
        </w:tc>
        <w:tc>
          <w:tcPr>
            <w:tcW w:w="992" w:type="dxa"/>
          </w:tcPr>
          <w:p w14:paraId="1934ED30" w14:textId="77777777" w:rsidR="00882BA4" w:rsidRPr="00882BA4" w:rsidRDefault="00882BA4" w:rsidP="00882BA4">
            <w:pPr>
              <w:jc w:val="left"/>
              <w:rPr>
                <w:color w:val="000000"/>
              </w:rPr>
            </w:pPr>
            <w:r w:rsidRPr="00882BA4">
              <w:rPr>
                <w:color w:val="000000"/>
              </w:rPr>
              <w:t>240</w:t>
            </w:r>
          </w:p>
        </w:tc>
        <w:tc>
          <w:tcPr>
            <w:tcW w:w="1276" w:type="dxa"/>
          </w:tcPr>
          <w:p w14:paraId="1E7BFC0B" w14:textId="77777777" w:rsidR="00882BA4" w:rsidRPr="00882BA4" w:rsidRDefault="00882BA4" w:rsidP="00882BA4">
            <w:pPr>
              <w:jc w:val="left"/>
              <w:rPr>
                <w:color w:val="000000"/>
              </w:rPr>
            </w:pPr>
            <w:r w:rsidRPr="00882BA4">
              <w:rPr>
                <w:color w:val="000000"/>
              </w:rPr>
              <w:t>420240</w:t>
            </w:r>
          </w:p>
        </w:tc>
      </w:tr>
      <w:tr w:rsidR="00882BA4" w:rsidRPr="00882BA4" w14:paraId="2183480D" w14:textId="77777777" w:rsidTr="00BC6E1D">
        <w:tc>
          <w:tcPr>
            <w:tcW w:w="496" w:type="dxa"/>
          </w:tcPr>
          <w:p w14:paraId="0E5A5456" w14:textId="77777777" w:rsidR="00882BA4" w:rsidRPr="00882BA4" w:rsidRDefault="00882BA4" w:rsidP="00882BA4">
            <w:pPr>
              <w:jc w:val="left"/>
              <w:rPr>
                <w:color w:val="000000"/>
              </w:rPr>
            </w:pPr>
            <w:r w:rsidRPr="00882BA4">
              <w:rPr>
                <w:color w:val="000000"/>
              </w:rPr>
              <w:t>77</w:t>
            </w:r>
          </w:p>
        </w:tc>
        <w:tc>
          <w:tcPr>
            <w:tcW w:w="758" w:type="dxa"/>
          </w:tcPr>
          <w:p w14:paraId="3A622C1A" w14:textId="77777777" w:rsidR="00882BA4" w:rsidRPr="00882BA4" w:rsidRDefault="00882BA4" w:rsidP="00882BA4">
            <w:pPr>
              <w:jc w:val="left"/>
              <w:rPr>
                <w:color w:val="000000"/>
              </w:rPr>
            </w:pPr>
          </w:p>
        </w:tc>
        <w:tc>
          <w:tcPr>
            <w:tcW w:w="1100" w:type="dxa"/>
          </w:tcPr>
          <w:p w14:paraId="6342B883" w14:textId="77777777" w:rsidR="00882BA4" w:rsidRPr="00882BA4" w:rsidRDefault="00882BA4" w:rsidP="00882BA4">
            <w:pPr>
              <w:jc w:val="left"/>
              <w:rPr>
                <w:color w:val="000000"/>
              </w:rPr>
            </w:pPr>
          </w:p>
        </w:tc>
        <w:tc>
          <w:tcPr>
            <w:tcW w:w="4304" w:type="dxa"/>
          </w:tcPr>
          <w:p w14:paraId="11AD55FB" w14:textId="77777777" w:rsidR="00882BA4" w:rsidRPr="00882BA4" w:rsidRDefault="00882BA4" w:rsidP="00882BA4">
            <w:pPr>
              <w:jc w:val="left"/>
              <w:rPr>
                <w:color w:val="000000"/>
              </w:rPr>
            </w:pPr>
            <w:r w:rsidRPr="00882BA4">
              <w:rPr>
                <w:color w:val="000000"/>
              </w:rPr>
              <w:t>юридичним особам – банкам-резидентам і заблоковані для здійснення розрахунків за результатами розміщення під час аукціону з обміну ОВДП</w:t>
            </w:r>
          </w:p>
        </w:tc>
        <w:tc>
          <w:tcPr>
            <w:tcW w:w="567" w:type="dxa"/>
          </w:tcPr>
          <w:p w14:paraId="41C8303C" w14:textId="77777777" w:rsidR="00882BA4" w:rsidRPr="00882BA4" w:rsidRDefault="00882BA4" w:rsidP="00882BA4">
            <w:pPr>
              <w:jc w:val="left"/>
              <w:rPr>
                <w:color w:val="000000"/>
              </w:rPr>
            </w:pPr>
            <w:r w:rsidRPr="00882BA4">
              <w:rPr>
                <w:color w:val="000000"/>
              </w:rPr>
              <w:t>0</w:t>
            </w:r>
          </w:p>
        </w:tc>
        <w:tc>
          <w:tcPr>
            <w:tcW w:w="992" w:type="dxa"/>
          </w:tcPr>
          <w:p w14:paraId="37EF5486" w14:textId="77777777" w:rsidR="00882BA4" w:rsidRPr="00882BA4" w:rsidRDefault="00882BA4" w:rsidP="00882BA4">
            <w:pPr>
              <w:jc w:val="left"/>
              <w:rPr>
                <w:color w:val="000000"/>
              </w:rPr>
            </w:pPr>
            <w:r w:rsidRPr="00882BA4">
              <w:rPr>
                <w:color w:val="000000"/>
              </w:rPr>
              <w:t>340</w:t>
            </w:r>
          </w:p>
        </w:tc>
        <w:tc>
          <w:tcPr>
            <w:tcW w:w="1276" w:type="dxa"/>
          </w:tcPr>
          <w:p w14:paraId="738A73A4" w14:textId="77777777" w:rsidR="00882BA4" w:rsidRPr="00882BA4" w:rsidRDefault="00882BA4" w:rsidP="00882BA4">
            <w:pPr>
              <w:jc w:val="left"/>
              <w:rPr>
                <w:color w:val="000000"/>
              </w:rPr>
            </w:pPr>
            <w:r w:rsidRPr="00882BA4">
              <w:rPr>
                <w:color w:val="000000"/>
              </w:rPr>
              <w:t>420340</w:t>
            </w:r>
          </w:p>
        </w:tc>
      </w:tr>
    </w:tbl>
    <w:p w14:paraId="266FCA2A" w14:textId="58EEDFE7" w:rsidR="00B2042E" w:rsidRDefault="00B2042E"/>
    <w:p w14:paraId="20CB904A" w14:textId="77777777" w:rsidR="00977756" w:rsidRDefault="00977756" w:rsidP="006F11C2">
      <w:pPr>
        <w:jc w:val="right"/>
      </w:pPr>
    </w:p>
    <w:p w14:paraId="17D3B24E" w14:textId="77777777" w:rsidR="00977756" w:rsidRDefault="00977756" w:rsidP="006F11C2">
      <w:pPr>
        <w:jc w:val="right"/>
      </w:pPr>
    </w:p>
    <w:p w14:paraId="410C7FB1" w14:textId="77777777" w:rsidR="00977756" w:rsidRDefault="00977756" w:rsidP="006F11C2">
      <w:pPr>
        <w:jc w:val="right"/>
      </w:pPr>
    </w:p>
    <w:p w14:paraId="5F10847D" w14:textId="5583EC49" w:rsidR="00B2042E" w:rsidRDefault="00B2042E" w:rsidP="006F11C2">
      <w:pPr>
        <w:jc w:val="right"/>
      </w:pPr>
      <w:r>
        <w:t>Продовження додатк</w:t>
      </w:r>
      <w:r w:rsidR="00B97EC5">
        <w:t>а</w:t>
      </w:r>
      <w:r>
        <w:t xml:space="preserve"> 2</w:t>
      </w:r>
    </w:p>
    <w:p w14:paraId="2480DC0C" w14:textId="6954A1C0" w:rsidR="00B2042E" w:rsidRDefault="00B2042E" w:rsidP="006F11C2">
      <w:pPr>
        <w:jc w:val="right"/>
      </w:pPr>
      <w:r>
        <w:t>Продовження таблиці</w:t>
      </w:r>
    </w:p>
    <w:tbl>
      <w:tblPr>
        <w:tblStyle w:val="a9"/>
        <w:tblW w:w="0" w:type="auto"/>
        <w:tblLook w:val="04A0" w:firstRow="1" w:lastRow="0" w:firstColumn="1" w:lastColumn="0" w:noHBand="0" w:noVBand="1"/>
      </w:tblPr>
      <w:tblGrid>
        <w:gridCol w:w="496"/>
        <w:gridCol w:w="758"/>
        <w:gridCol w:w="1100"/>
        <w:gridCol w:w="4162"/>
        <w:gridCol w:w="567"/>
        <w:gridCol w:w="992"/>
        <w:gridCol w:w="1276"/>
      </w:tblGrid>
      <w:tr w:rsidR="00B2042E" w:rsidRPr="00882BA4" w14:paraId="0AB9AA85" w14:textId="77777777" w:rsidTr="00977756">
        <w:tc>
          <w:tcPr>
            <w:tcW w:w="496" w:type="dxa"/>
          </w:tcPr>
          <w:p w14:paraId="288CBB63" w14:textId="5299CD5F" w:rsidR="00B2042E" w:rsidRPr="00882BA4" w:rsidRDefault="00B2042E" w:rsidP="006F11C2">
            <w:pPr>
              <w:jc w:val="center"/>
              <w:rPr>
                <w:color w:val="000000"/>
              </w:rPr>
            </w:pPr>
            <w:r>
              <w:rPr>
                <w:color w:val="000000"/>
              </w:rPr>
              <w:t>1</w:t>
            </w:r>
          </w:p>
        </w:tc>
        <w:tc>
          <w:tcPr>
            <w:tcW w:w="758" w:type="dxa"/>
          </w:tcPr>
          <w:p w14:paraId="39FD9EE1" w14:textId="2F3468CD" w:rsidR="00B2042E" w:rsidRPr="00882BA4" w:rsidRDefault="00B2042E" w:rsidP="006F11C2">
            <w:pPr>
              <w:jc w:val="center"/>
              <w:rPr>
                <w:color w:val="000000"/>
              </w:rPr>
            </w:pPr>
            <w:r>
              <w:rPr>
                <w:color w:val="000000"/>
              </w:rPr>
              <w:t>2</w:t>
            </w:r>
          </w:p>
        </w:tc>
        <w:tc>
          <w:tcPr>
            <w:tcW w:w="1100" w:type="dxa"/>
          </w:tcPr>
          <w:p w14:paraId="51C4F661" w14:textId="1F42515D" w:rsidR="00B2042E" w:rsidRPr="00882BA4" w:rsidRDefault="00B2042E" w:rsidP="006F11C2">
            <w:pPr>
              <w:jc w:val="center"/>
              <w:rPr>
                <w:color w:val="000000"/>
              </w:rPr>
            </w:pPr>
            <w:r>
              <w:rPr>
                <w:color w:val="000000"/>
              </w:rPr>
              <w:t>3</w:t>
            </w:r>
          </w:p>
        </w:tc>
        <w:tc>
          <w:tcPr>
            <w:tcW w:w="4162" w:type="dxa"/>
          </w:tcPr>
          <w:p w14:paraId="0C2CBC83" w14:textId="7C2039BB" w:rsidR="00B2042E" w:rsidRPr="00882BA4" w:rsidRDefault="00B2042E" w:rsidP="006F11C2">
            <w:pPr>
              <w:jc w:val="center"/>
              <w:rPr>
                <w:color w:val="000000"/>
              </w:rPr>
            </w:pPr>
            <w:r>
              <w:rPr>
                <w:color w:val="000000"/>
              </w:rPr>
              <w:t>4</w:t>
            </w:r>
          </w:p>
        </w:tc>
        <w:tc>
          <w:tcPr>
            <w:tcW w:w="567" w:type="dxa"/>
          </w:tcPr>
          <w:p w14:paraId="2B4895D4" w14:textId="73CE9B3C" w:rsidR="00B2042E" w:rsidRPr="00882BA4" w:rsidRDefault="00B2042E" w:rsidP="006F11C2">
            <w:pPr>
              <w:jc w:val="center"/>
              <w:rPr>
                <w:color w:val="000000"/>
              </w:rPr>
            </w:pPr>
            <w:r>
              <w:rPr>
                <w:color w:val="000000"/>
              </w:rPr>
              <w:t>5</w:t>
            </w:r>
          </w:p>
        </w:tc>
        <w:tc>
          <w:tcPr>
            <w:tcW w:w="992" w:type="dxa"/>
          </w:tcPr>
          <w:p w14:paraId="1AA8AE40" w14:textId="6A4A0376" w:rsidR="00B2042E" w:rsidRPr="00882BA4" w:rsidRDefault="00B2042E" w:rsidP="006F11C2">
            <w:pPr>
              <w:jc w:val="center"/>
              <w:rPr>
                <w:color w:val="000000"/>
              </w:rPr>
            </w:pPr>
            <w:r>
              <w:rPr>
                <w:color w:val="000000"/>
              </w:rPr>
              <w:t>6</w:t>
            </w:r>
          </w:p>
        </w:tc>
        <w:tc>
          <w:tcPr>
            <w:tcW w:w="1276" w:type="dxa"/>
          </w:tcPr>
          <w:p w14:paraId="5431849F" w14:textId="46E8E568" w:rsidR="00B2042E" w:rsidRPr="00882BA4" w:rsidRDefault="00B2042E" w:rsidP="006F11C2">
            <w:pPr>
              <w:jc w:val="center"/>
              <w:rPr>
                <w:color w:val="000000"/>
              </w:rPr>
            </w:pPr>
            <w:r>
              <w:rPr>
                <w:color w:val="000000"/>
              </w:rPr>
              <w:t>7</w:t>
            </w:r>
          </w:p>
        </w:tc>
      </w:tr>
      <w:tr w:rsidR="00882BA4" w:rsidRPr="00882BA4" w14:paraId="1E1EDFAD" w14:textId="77777777" w:rsidTr="00977756">
        <w:tc>
          <w:tcPr>
            <w:tcW w:w="496" w:type="dxa"/>
          </w:tcPr>
          <w:p w14:paraId="446FDCBC" w14:textId="77777777" w:rsidR="00882BA4" w:rsidRPr="00882BA4" w:rsidRDefault="00882BA4" w:rsidP="00882BA4">
            <w:pPr>
              <w:jc w:val="left"/>
              <w:rPr>
                <w:color w:val="000000"/>
              </w:rPr>
            </w:pPr>
            <w:r w:rsidRPr="00882BA4">
              <w:rPr>
                <w:color w:val="000000"/>
              </w:rPr>
              <w:t>78</w:t>
            </w:r>
          </w:p>
        </w:tc>
        <w:tc>
          <w:tcPr>
            <w:tcW w:w="758" w:type="dxa"/>
          </w:tcPr>
          <w:p w14:paraId="1273F31D" w14:textId="77777777" w:rsidR="00882BA4" w:rsidRPr="00882BA4" w:rsidRDefault="00882BA4" w:rsidP="00882BA4">
            <w:pPr>
              <w:jc w:val="left"/>
              <w:rPr>
                <w:color w:val="000000"/>
              </w:rPr>
            </w:pPr>
          </w:p>
        </w:tc>
        <w:tc>
          <w:tcPr>
            <w:tcW w:w="1100" w:type="dxa"/>
          </w:tcPr>
          <w:p w14:paraId="054258B6" w14:textId="77777777" w:rsidR="00882BA4" w:rsidRPr="00882BA4" w:rsidRDefault="00882BA4" w:rsidP="00882BA4">
            <w:pPr>
              <w:jc w:val="left"/>
              <w:rPr>
                <w:color w:val="000000"/>
              </w:rPr>
            </w:pPr>
          </w:p>
        </w:tc>
        <w:tc>
          <w:tcPr>
            <w:tcW w:w="4162" w:type="dxa"/>
          </w:tcPr>
          <w:p w14:paraId="5D51E1EE" w14:textId="77777777" w:rsidR="00882BA4" w:rsidRPr="00882BA4" w:rsidRDefault="00882BA4" w:rsidP="00882BA4">
            <w:pPr>
              <w:jc w:val="left"/>
              <w:rPr>
                <w:color w:val="000000"/>
              </w:rPr>
            </w:pPr>
            <w:r w:rsidRPr="00882BA4">
              <w:rPr>
                <w:color w:val="000000"/>
              </w:rPr>
              <w:t xml:space="preserve">юридичним особам – </w:t>
            </w:r>
            <w:proofErr w:type="spellStart"/>
            <w:r w:rsidRPr="00882BA4">
              <w:rPr>
                <w:color w:val="000000"/>
              </w:rPr>
              <w:t>небанкам</w:t>
            </w:r>
            <w:proofErr w:type="spellEnd"/>
            <w:r w:rsidRPr="00882BA4">
              <w:rPr>
                <w:color w:val="000000"/>
              </w:rPr>
              <w:t>-резидентам і заблоковані для здійснення розрахунків за результатами розміщення під час аукціону з обміну ОВДП</w:t>
            </w:r>
          </w:p>
        </w:tc>
        <w:tc>
          <w:tcPr>
            <w:tcW w:w="567" w:type="dxa"/>
          </w:tcPr>
          <w:p w14:paraId="295560EC" w14:textId="77777777" w:rsidR="00882BA4" w:rsidRPr="00882BA4" w:rsidRDefault="00882BA4" w:rsidP="00882BA4">
            <w:pPr>
              <w:jc w:val="left"/>
              <w:rPr>
                <w:color w:val="000000"/>
              </w:rPr>
            </w:pPr>
            <w:r w:rsidRPr="00882BA4">
              <w:rPr>
                <w:color w:val="000000"/>
              </w:rPr>
              <w:t>0</w:t>
            </w:r>
          </w:p>
        </w:tc>
        <w:tc>
          <w:tcPr>
            <w:tcW w:w="992" w:type="dxa"/>
          </w:tcPr>
          <w:p w14:paraId="4B740212" w14:textId="77777777" w:rsidR="00882BA4" w:rsidRPr="00882BA4" w:rsidRDefault="00882BA4" w:rsidP="00882BA4">
            <w:pPr>
              <w:jc w:val="left"/>
              <w:rPr>
                <w:color w:val="000000"/>
              </w:rPr>
            </w:pPr>
            <w:r w:rsidRPr="00882BA4">
              <w:rPr>
                <w:color w:val="000000"/>
              </w:rPr>
              <w:t>440</w:t>
            </w:r>
          </w:p>
        </w:tc>
        <w:tc>
          <w:tcPr>
            <w:tcW w:w="1276" w:type="dxa"/>
          </w:tcPr>
          <w:p w14:paraId="3C803931" w14:textId="77777777" w:rsidR="00882BA4" w:rsidRPr="00882BA4" w:rsidRDefault="00882BA4" w:rsidP="00882BA4">
            <w:pPr>
              <w:jc w:val="left"/>
              <w:rPr>
                <w:color w:val="000000"/>
              </w:rPr>
            </w:pPr>
            <w:r w:rsidRPr="00882BA4">
              <w:rPr>
                <w:color w:val="000000"/>
              </w:rPr>
              <w:t>420440</w:t>
            </w:r>
          </w:p>
        </w:tc>
      </w:tr>
      <w:tr w:rsidR="00882BA4" w:rsidRPr="00882BA4" w14:paraId="2358B65E" w14:textId="77777777" w:rsidTr="00977756">
        <w:tc>
          <w:tcPr>
            <w:tcW w:w="496" w:type="dxa"/>
          </w:tcPr>
          <w:p w14:paraId="21779F48" w14:textId="77777777" w:rsidR="00882BA4" w:rsidRPr="00882BA4" w:rsidRDefault="00882BA4" w:rsidP="00882BA4">
            <w:pPr>
              <w:jc w:val="left"/>
              <w:rPr>
                <w:color w:val="000000"/>
              </w:rPr>
            </w:pPr>
            <w:r w:rsidRPr="00882BA4">
              <w:rPr>
                <w:color w:val="000000"/>
              </w:rPr>
              <w:t>79</w:t>
            </w:r>
          </w:p>
        </w:tc>
        <w:tc>
          <w:tcPr>
            <w:tcW w:w="758" w:type="dxa"/>
          </w:tcPr>
          <w:p w14:paraId="05263FD0" w14:textId="77777777" w:rsidR="00882BA4" w:rsidRPr="00882BA4" w:rsidRDefault="00882BA4" w:rsidP="00882BA4">
            <w:pPr>
              <w:jc w:val="left"/>
              <w:rPr>
                <w:color w:val="000000"/>
              </w:rPr>
            </w:pPr>
          </w:p>
        </w:tc>
        <w:tc>
          <w:tcPr>
            <w:tcW w:w="1100" w:type="dxa"/>
          </w:tcPr>
          <w:p w14:paraId="276AB9F3" w14:textId="77777777" w:rsidR="00882BA4" w:rsidRPr="00882BA4" w:rsidRDefault="00882BA4" w:rsidP="00882BA4">
            <w:pPr>
              <w:jc w:val="left"/>
              <w:rPr>
                <w:color w:val="000000"/>
              </w:rPr>
            </w:pPr>
          </w:p>
        </w:tc>
        <w:tc>
          <w:tcPr>
            <w:tcW w:w="4162" w:type="dxa"/>
          </w:tcPr>
          <w:p w14:paraId="446C5946" w14:textId="77777777" w:rsidR="00882BA4" w:rsidRPr="00882BA4" w:rsidRDefault="00882BA4" w:rsidP="00882BA4">
            <w:pPr>
              <w:jc w:val="left"/>
              <w:rPr>
                <w:color w:val="000000"/>
              </w:rPr>
            </w:pPr>
            <w:r w:rsidRPr="00882BA4">
              <w:rPr>
                <w:color w:val="000000"/>
              </w:rPr>
              <w:t>територіальним громадам і заблоковані для здійснення розрахунків за результатами розміщення під час аукціону з обміну ОВДП</w:t>
            </w:r>
          </w:p>
        </w:tc>
        <w:tc>
          <w:tcPr>
            <w:tcW w:w="567" w:type="dxa"/>
          </w:tcPr>
          <w:p w14:paraId="0BA99C8A" w14:textId="77777777" w:rsidR="00882BA4" w:rsidRPr="00882BA4" w:rsidRDefault="00882BA4" w:rsidP="00882BA4">
            <w:pPr>
              <w:jc w:val="left"/>
              <w:rPr>
                <w:color w:val="000000"/>
              </w:rPr>
            </w:pPr>
            <w:r w:rsidRPr="00882BA4">
              <w:rPr>
                <w:color w:val="000000"/>
              </w:rPr>
              <w:t>0</w:t>
            </w:r>
          </w:p>
        </w:tc>
        <w:tc>
          <w:tcPr>
            <w:tcW w:w="992" w:type="dxa"/>
          </w:tcPr>
          <w:p w14:paraId="04E6FFE7" w14:textId="77777777" w:rsidR="00882BA4" w:rsidRPr="00882BA4" w:rsidRDefault="00882BA4" w:rsidP="00882BA4">
            <w:pPr>
              <w:jc w:val="left"/>
              <w:rPr>
                <w:color w:val="000000"/>
              </w:rPr>
            </w:pPr>
            <w:r w:rsidRPr="00882BA4">
              <w:rPr>
                <w:color w:val="000000"/>
              </w:rPr>
              <w:t>640</w:t>
            </w:r>
          </w:p>
        </w:tc>
        <w:tc>
          <w:tcPr>
            <w:tcW w:w="1276" w:type="dxa"/>
          </w:tcPr>
          <w:p w14:paraId="2CF3E303" w14:textId="77777777" w:rsidR="00882BA4" w:rsidRPr="00882BA4" w:rsidRDefault="00882BA4" w:rsidP="00882BA4">
            <w:pPr>
              <w:jc w:val="left"/>
              <w:rPr>
                <w:color w:val="000000"/>
              </w:rPr>
            </w:pPr>
            <w:r w:rsidRPr="00882BA4">
              <w:rPr>
                <w:color w:val="000000"/>
              </w:rPr>
              <w:t>420640</w:t>
            </w:r>
          </w:p>
        </w:tc>
      </w:tr>
      <w:tr w:rsidR="00882BA4" w:rsidRPr="00882BA4" w14:paraId="4ADF2B11" w14:textId="77777777" w:rsidTr="00977756">
        <w:tc>
          <w:tcPr>
            <w:tcW w:w="496" w:type="dxa"/>
          </w:tcPr>
          <w:p w14:paraId="1D590A8B" w14:textId="77777777" w:rsidR="00882BA4" w:rsidRPr="00882BA4" w:rsidRDefault="00882BA4" w:rsidP="00882BA4">
            <w:pPr>
              <w:jc w:val="left"/>
              <w:rPr>
                <w:color w:val="000000"/>
              </w:rPr>
            </w:pPr>
            <w:r w:rsidRPr="00882BA4">
              <w:rPr>
                <w:color w:val="000000"/>
              </w:rPr>
              <w:t>80</w:t>
            </w:r>
          </w:p>
        </w:tc>
        <w:tc>
          <w:tcPr>
            <w:tcW w:w="758" w:type="dxa"/>
          </w:tcPr>
          <w:p w14:paraId="7BF63A87" w14:textId="77777777" w:rsidR="00882BA4" w:rsidRPr="00882BA4" w:rsidRDefault="00882BA4" w:rsidP="00882BA4">
            <w:pPr>
              <w:jc w:val="left"/>
              <w:rPr>
                <w:color w:val="000000"/>
              </w:rPr>
            </w:pPr>
          </w:p>
        </w:tc>
        <w:tc>
          <w:tcPr>
            <w:tcW w:w="1100" w:type="dxa"/>
          </w:tcPr>
          <w:p w14:paraId="30304A8D" w14:textId="77777777" w:rsidR="00882BA4" w:rsidRPr="00882BA4" w:rsidRDefault="00882BA4" w:rsidP="00882BA4">
            <w:pPr>
              <w:jc w:val="left"/>
              <w:rPr>
                <w:color w:val="000000"/>
              </w:rPr>
            </w:pPr>
          </w:p>
        </w:tc>
        <w:tc>
          <w:tcPr>
            <w:tcW w:w="4162" w:type="dxa"/>
          </w:tcPr>
          <w:p w14:paraId="47A8C04A" w14:textId="77777777" w:rsidR="00882BA4" w:rsidRPr="00882BA4" w:rsidRDefault="00882BA4" w:rsidP="00882BA4">
            <w:pPr>
              <w:jc w:val="left"/>
              <w:rPr>
                <w:color w:val="000000"/>
              </w:rPr>
            </w:pPr>
            <w:r w:rsidRPr="00882BA4">
              <w:rPr>
                <w:color w:val="000000"/>
              </w:rPr>
              <w:t>клієнтам та/або клієнтам клієнтів номінального утримувача і заблоковані для здійснення розрахунків за результатами розміщення під час аукціону з обміну ОВДП</w:t>
            </w:r>
          </w:p>
        </w:tc>
        <w:tc>
          <w:tcPr>
            <w:tcW w:w="567" w:type="dxa"/>
          </w:tcPr>
          <w:p w14:paraId="2FE5B226" w14:textId="77777777" w:rsidR="00882BA4" w:rsidRPr="00882BA4" w:rsidRDefault="00882BA4" w:rsidP="00882BA4">
            <w:pPr>
              <w:jc w:val="left"/>
              <w:rPr>
                <w:color w:val="000000"/>
              </w:rPr>
            </w:pPr>
            <w:r w:rsidRPr="00882BA4">
              <w:rPr>
                <w:color w:val="000000"/>
              </w:rPr>
              <w:t>0</w:t>
            </w:r>
          </w:p>
        </w:tc>
        <w:tc>
          <w:tcPr>
            <w:tcW w:w="992" w:type="dxa"/>
          </w:tcPr>
          <w:p w14:paraId="19F0186D" w14:textId="77777777" w:rsidR="00882BA4" w:rsidRPr="00882BA4" w:rsidRDefault="00882BA4" w:rsidP="00882BA4">
            <w:pPr>
              <w:jc w:val="left"/>
              <w:rPr>
                <w:color w:val="000000"/>
              </w:rPr>
            </w:pPr>
            <w:r w:rsidRPr="00882BA4">
              <w:rPr>
                <w:color w:val="000000"/>
              </w:rPr>
              <w:t>740</w:t>
            </w:r>
          </w:p>
        </w:tc>
        <w:tc>
          <w:tcPr>
            <w:tcW w:w="1276" w:type="dxa"/>
          </w:tcPr>
          <w:p w14:paraId="2AE5BF0D" w14:textId="77777777" w:rsidR="00882BA4" w:rsidRPr="00882BA4" w:rsidRDefault="00882BA4" w:rsidP="00882BA4">
            <w:pPr>
              <w:jc w:val="left"/>
              <w:rPr>
                <w:color w:val="000000"/>
              </w:rPr>
            </w:pPr>
            <w:r w:rsidRPr="00882BA4">
              <w:rPr>
                <w:color w:val="000000"/>
              </w:rPr>
              <w:t>420740</w:t>
            </w:r>
          </w:p>
        </w:tc>
      </w:tr>
    </w:tbl>
    <w:p w14:paraId="6E8400BE" w14:textId="77777777" w:rsidR="008B4DF8" w:rsidRDefault="008B4DF8" w:rsidP="00882BA4">
      <w:pPr>
        <w:ind w:left="709"/>
        <w:jc w:val="right"/>
      </w:pPr>
      <w:r>
        <w:rPr>
          <w:lang w:val="en-US"/>
        </w:rPr>
        <w:t>”</w:t>
      </w:r>
      <w:r w:rsidR="00882BA4">
        <w:t>.</w:t>
      </w:r>
    </w:p>
    <w:p w14:paraId="591D637F" w14:textId="7A8EBC5A" w:rsidR="00882BA4" w:rsidRDefault="00882BA4" w:rsidP="00A96FFB">
      <w:pPr>
        <w:ind w:left="709"/>
      </w:pPr>
      <w:r>
        <w:t xml:space="preserve">У зв’язку з цим рядки 75-172 уважати відповідно рядками </w:t>
      </w:r>
      <w:r w:rsidR="00A96FFB">
        <w:t>81-178;</w:t>
      </w:r>
    </w:p>
    <w:p w14:paraId="50DCCB4B" w14:textId="77777777" w:rsidR="003E4164" w:rsidRPr="00882BA4" w:rsidRDefault="003E4164" w:rsidP="00A96FFB">
      <w:pPr>
        <w:ind w:left="709"/>
      </w:pPr>
    </w:p>
    <w:p w14:paraId="577EDD52" w14:textId="77777777" w:rsidR="00D263D2" w:rsidRDefault="00CA6FA0" w:rsidP="00CA6FA0">
      <w:pPr>
        <w:pStyle w:val="af3"/>
        <w:numPr>
          <w:ilvl w:val="0"/>
          <w:numId w:val="7"/>
        </w:numPr>
        <w:jc w:val="left"/>
      </w:pPr>
      <w:r>
        <w:t>у таблиці додатка 3:</w:t>
      </w:r>
    </w:p>
    <w:p w14:paraId="38FD78FE" w14:textId="12D1E973" w:rsidR="00CA6FA0" w:rsidRDefault="00CA6FA0" w:rsidP="00CA6FA0">
      <w:pPr>
        <w:ind w:left="709"/>
        <w:jc w:val="left"/>
      </w:pPr>
      <w:r>
        <w:t>ряд</w:t>
      </w:r>
      <w:r w:rsidR="002B20C4">
        <w:t>о</w:t>
      </w:r>
      <w:r>
        <w:t>к 1 викласти у такій редакції:</w:t>
      </w:r>
    </w:p>
    <w:p w14:paraId="5B9908F1" w14:textId="2D0BC0BF" w:rsidR="00977756" w:rsidRDefault="009A5617" w:rsidP="009A5617">
      <w:pPr>
        <w:jc w:val="left"/>
      </w:pPr>
      <w:r>
        <w:rPr>
          <w:lang w:val="en-US"/>
        </w:rPr>
        <w:t>“</w:t>
      </w:r>
    </w:p>
    <w:tbl>
      <w:tblPr>
        <w:tblStyle w:val="a9"/>
        <w:tblpPr w:leftFromText="180" w:rightFromText="180" w:vertAnchor="text" w:horzAnchor="margin" w:tblpY="231"/>
        <w:tblW w:w="0" w:type="auto"/>
        <w:tblLook w:val="04A0" w:firstRow="1" w:lastRow="0" w:firstColumn="1" w:lastColumn="0" w:noHBand="0" w:noVBand="1"/>
      </w:tblPr>
      <w:tblGrid>
        <w:gridCol w:w="562"/>
        <w:gridCol w:w="2785"/>
        <w:gridCol w:w="2786"/>
        <w:gridCol w:w="3218"/>
      </w:tblGrid>
      <w:tr w:rsidR="00977756" w14:paraId="2A45CA2C" w14:textId="77777777" w:rsidTr="00977756">
        <w:tc>
          <w:tcPr>
            <w:tcW w:w="562" w:type="dxa"/>
          </w:tcPr>
          <w:p w14:paraId="2191C5FF" w14:textId="77777777" w:rsidR="00977756" w:rsidRDefault="00977756" w:rsidP="009C66F8">
            <w:pPr>
              <w:jc w:val="center"/>
              <w:rPr>
                <w:lang w:val="en-US"/>
              </w:rPr>
            </w:pPr>
            <w:r>
              <w:rPr>
                <w:lang w:val="en-US"/>
              </w:rPr>
              <w:t>1</w:t>
            </w:r>
          </w:p>
        </w:tc>
        <w:tc>
          <w:tcPr>
            <w:tcW w:w="2785" w:type="dxa"/>
          </w:tcPr>
          <w:p w14:paraId="7065927D" w14:textId="77777777" w:rsidR="00977756" w:rsidRDefault="00977756" w:rsidP="009C66F8">
            <w:pPr>
              <w:jc w:val="center"/>
              <w:rPr>
                <w:lang w:val="en-US"/>
              </w:rPr>
            </w:pPr>
            <w:r>
              <w:rPr>
                <w:lang w:val="en-US"/>
              </w:rPr>
              <w:t>2</w:t>
            </w:r>
          </w:p>
        </w:tc>
        <w:tc>
          <w:tcPr>
            <w:tcW w:w="2786" w:type="dxa"/>
          </w:tcPr>
          <w:p w14:paraId="03B1B0DD" w14:textId="77777777" w:rsidR="00977756" w:rsidRPr="006F11C2" w:rsidRDefault="00977756" w:rsidP="009C66F8">
            <w:pPr>
              <w:jc w:val="center"/>
            </w:pPr>
            <w:r>
              <w:t>3</w:t>
            </w:r>
          </w:p>
        </w:tc>
        <w:tc>
          <w:tcPr>
            <w:tcW w:w="3218" w:type="dxa"/>
          </w:tcPr>
          <w:p w14:paraId="52DAADAE" w14:textId="77777777" w:rsidR="00977756" w:rsidRPr="006F11C2" w:rsidRDefault="00977756" w:rsidP="009C66F8">
            <w:pPr>
              <w:jc w:val="center"/>
            </w:pPr>
            <w:r>
              <w:t>4</w:t>
            </w:r>
          </w:p>
        </w:tc>
      </w:tr>
      <w:tr w:rsidR="00977756" w14:paraId="3A607D02" w14:textId="77777777" w:rsidTr="00977756">
        <w:tc>
          <w:tcPr>
            <w:tcW w:w="562" w:type="dxa"/>
          </w:tcPr>
          <w:p w14:paraId="5269CB48" w14:textId="77777777" w:rsidR="00977756" w:rsidRDefault="00977756" w:rsidP="009C66F8">
            <w:pPr>
              <w:jc w:val="left"/>
              <w:rPr>
                <w:lang w:val="en-US"/>
              </w:rPr>
            </w:pPr>
            <w:r>
              <w:rPr>
                <w:lang w:val="en-US"/>
              </w:rPr>
              <w:t>1</w:t>
            </w:r>
          </w:p>
        </w:tc>
        <w:tc>
          <w:tcPr>
            <w:tcW w:w="8789" w:type="dxa"/>
            <w:gridSpan w:val="3"/>
          </w:tcPr>
          <w:p w14:paraId="3FA86611" w14:textId="77777777" w:rsidR="00977756" w:rsidRDefault="00977756" w:rsidP="009C66F8">
            <w:pPr>
              <w:jc w:val="left"/>
              <w:rPr>
                <w:lang w:val="en-US"/>
              </w:rPr>
            </w:pPr>
            <w:r w:rsidRPr="00571F58">
              <w:t>1. Первинне розміщення ОВДП/первинне розміщення ОВДП під час аукціону з обміну ОВДП:</w:t>
            </w:r>
          </w:p>
        </w:tc>
      </w:tr>
    </w:tbl>
    <w:p w14:paraId="1494D759" w14:textId="654FFF7D" w:rsidR="003E4164" w:rsidRPr="0047615E" w:rsidRDefault="003E4164" w:rsidP="009C66F8">
      <w:pPr>
        <w:jc w:val="right"/>
      </w:pPr>
      <w:r w:rsidRPr="006F11C2">
        <w:rPr>
          <w:lang w:val="ru-RU"/>
        </w:rPr>
        <w:t>”</w:t>
      </w:r>
      <w:r w:rsidR="0047615E">
        <w:t>;</w:t>
      </w:r>
    </w:p>
    <w:p w14:paraId="7282F43E" w14:textId="77777777" w:rsidR="007965F5" w:rsidRDefault="007965F5" w:rsidP="00CA6FA0">
      <w:pPr>
        <w:ind w:left="709"/>
        <w:jc w:val="left"/>
      </w:pPr>
      <w:r>
        <w:t>рядки 5-7 викласти у такій редакції:</w:t>
      </w:r>
    </w:p>
    <w:p w14:paraId="24E0D45A" w14:textId="77777777" w:rsidR="007965F5" w:rsidRDefault="007965F5" w:rsidP="00CA6FA0">
      <w:pPr>
        <w:ind w:left="709"/>
        <w:jc w:val="left"/>
        <w:rPr>
          <w:lang w:val="en-US"/>
        </w:rPr>
      </w:pPr>
      <w:r>
        <w:rPr>
          <w:lang w:val="en-US"/>
        </w:rPr>
        <w:t>“</w:t>
      </w:r>
    </w:p>
    <w:tbl>
      <w:tblPr>
        <w:tblStyle w:val="a9"/>
        <w:tblW w:w="0" w:type="auto"/>
        <w:tblLook w:val="04A0" w:firstRow="1" w:lastRow="0" w:firstColumn="1" w:lastColumn="0" w:noHBand="0" w:noVBand="1"/>
      </w:tblPr>
      <w:tblGrid>
        <w:gridCol w:w="505"/>
        <w:gridCol w:w="1047"/>
        <w:gridCol w:w="1810"/>
        <w:gridCol w:w="6131"/>
      </w:tblGrid>
      <w:tr w:rsidR="003160EB" w:rsidRPr="007965F5" w14:paraId="0FD49157" w14:textId="77777777" w:rsidTr="00E716BE">
        <w:tc>
          <w:tcPr>
            <w:tcW w:w="505" w:type="dxa"/>
          </w:tcPr>
          <w:p w14:paraId="4D0C9965" w14:textId="52CAB164" w:rsidR="003160EB" w:rsidRPr="007965F5" w:rsidRDefault="003160EB" w:rsidP="003160EB">
            <w:pPr>
              <w:jc w:val="center"/>
              <w:rPr>
                <w:color w:val="000000"/>
              </w:rPr>
            </w:pPr>
            <w:r>
              <w:rPr>
                <w:color w:val="000000"/>
              </w:rPr>
              <w:t>1</w:t>
            </w:r>
          </w:p>
        </w:tc>
        <w:tc>
          <w:tcPr>
            <w:tcW w:w="1047" w:type="dxa"/>
          </w:tcPr>
          <w:p w14:paraId="0E862EB6" w14:textId="00438404" w:rsidR="003160EB" w:rsidRPr="007965F5" w:rsidRDefault="003160EB" w:rsidP="006F11C2">
            <w:pPr>
              <w:jc w:val="center"/>
              <w:rPr>
                <w:color w:val="000000"/>
              </w:rPr>
            </w:pPr>
            <w:r>
              <w:rPr>
                <w:color w:val="000000"/>
              </w:rPr>
              <w:t>2</w:t>
            </w:r>
          </w:p>
        </w:tc>
        <w:tc>
          <w:tcPr>
            <w:tcW w:w="1810" w:type="dxa"/>
          </w:tcPr>
          <w:p w14:paraId="4CBABB95" w14:textId="55F05C00" w:rsidR="003160EB" w:rsidRPr="007965F5" w:rsidRDefault="003160EB" w:rsidP="006F11C2">
            <w:pPr>
              <w:jc w:val="center"/>
              <w:rPr>
                <w:color w:val="000000"/>
              </w:rPr>
            </w:pPr>
            <w:r>
              <w:rPr>
                <w:color w:val="000000"/>
              </w:rPr>
              <w:t>3</w:t>
            </w:r>
          </w:p>
        </w:tc>
        <w:tc>
          <w:tcPr>
            <w:tcW w:w="6131" w:type="dxa"/>
          </w:tcPr>
          <w:p w14:paraId="77659A12" w14:textId="23951650" w:rsidR="003160EB" w:rsidRPr="007965F5" w:rsidRDefault="003160EB" w:rsidP="006F11C2">
            <w:pPr>
              <w:jc w:val="center"/>
              <w:rPr>
                <w:color w:val="000000"/>
              </w:rPr>
            </w:pPr>
            <w:r>
              <w:rPr>
                <w:color w:val="000000"/>
              </w:rPr>
              <w:t>4</w:t>
            </w:r>
          </w:p>
        </w:tc>
      </w:tr>
      <w:tr w:rsidR="007965F5" w:rsidRPr="007965F5" w14:paraId="29B957C0" w14:textId="77777777" w:rsidTr="00E716BE">
        <w:tc>
          <w:tcPr>
            <w:tcW w:w="505" w:type="dxa"/>
          </w:tcPr>
          <w:p w14:paraId="603F54D7" w14:textId="77777777" w:rsidR="007965F5" w:rsidRPr="007965F5" w:rsidRDefault="007965F5" w:rsidP="007965F5">
            <w:pPr>
              <w:jc w:val="center"/>
              <w:rPr>
                <w:color w:val="000000"/>
              </w:rPr>
            </w:pPr>
            <w:r w:rsidRPr="007965F5">
              <w:rPr>
                <w:color w:val="000000"/>
              </w:rPr>
              <w:t>5</w:t>
            </w:r>
          </w:p>
        </w:tc>
        <w:tc>
          <w:tcPr>
            <w:tcW w:w="8988" w:type="dxa"/>
            <w:gridSpan w:val="3"/>
          </w:tcPr>
          <w:p w14:paraId="78A69544" w14:textId="77777777" w:rsidR="007965F5" w:rsidRPr="007965F5" w:rsidRDefault="007965F5" w:rsidP="007965F5">
            <w:pPr>
              <w:jc w:val="left"/>
              <w:rPr>
                <w:color w:val="000000"/>
              </w:rPr>
            </w:pPr>
            <w:r w:rsidRPr="007965F5">
              <w:rPr>
                <w:color w:val="000000"/>
              </w:rPr>
              <w:t>Блокування ОВДП в обігу для розрахунків за результатами аукціону з обміну ОВДП</w:t>
            </w:r>
          </w:p>
        </w:tc>
      </w:tr>
    </w:tbl>
    <w:p w14:paraId="753EC943" w14:textId="703F37FB" w:rsidR="00071DD0" w:rsidRDefault="00071DD0"/>
    <w:p w14:paraId="4453801C" w14:textId="24C8F72B" w:rsidR="00071DD0" w:rsidRDefault="00071DD0"/>
    <w:p w14:paraId="4CBF0317" w14:textId="55F603A4" w:rsidR="00E716BE" w:rsidRDefault="00E716BE"/>
    <w:p w14:paraId="59F69593" w14:textId="77777777" w:rsidR="00E716BE" w:rsidRDefault="00E716BE"/>
    <w:p w14:paraId="775B6279" w14:textId="37081035" w:rsidR="00071DD0" w:rsidRDefault="00071DD0"/>
    <w:p w14:paraId="4B62971F" w14:textId="6C6DA4C7" w:rsidR="00071DD0" w:rsidRDefault="00071DD0"/>
    <w:p w14:paraId="455755F9" w14:textId="77777777" w:rsidR="00071DD0" w:rsidRDefault="00071DD0"/>
    <w:p w14:paraId="3D403643" w14:textId="76E35E50" w:rsidR="00071DD0" w:rsidRDefault="00071DD0" w:rsidP="006F11C2">
      <w:pPr>
        <w:jc w:val="right"/>
      </w:pPr>
      <w:r>
        <w:t>Продовження додатк</w:t>
      </w:r>
      <w:r w:rsidR="00B97EC5">
        <w:t>а</w:t>
      </w:r>
      <w:r>
        <w:t xml:space="preserve"> 3 </w:t>
      </w:r>
    </w:p>
    <w:p w14:paraId="519ABA78" w14:textId="3057C4A9" w:rsidR="00071DD0" w:rsidRDefault="00071DD0" w:rsidP="006F11C2">
      <w:pPr>
        <w:jc w:val="right"/>
      </w:pPr>
      <w:r>
        <w:t>Продовження таблиці</w:t>
      </w:r>
    </w:p>
    <w:tbl>
      <w:tblPr>
        <w:tblStyle w:val="a9"/>
        <w:tblW w:w="0" w:type="auto"/>
        <w:tblLook w:val="04A0" w:firstRow="1" w:lastRow="0" w:firstColumn="1" w:lastColumn="0" w:noHBand="0" w:noVBand="1"/>
      </w:tblPr>
      <w:tblGrid>
        <w:gridCol w:w="505"/>
        <w:gridCol w:w="1056"/>
        <w:gridCol w:w="1810"/>
        <w:gridCol w:w="6122"/>
      </w:tblGrid>
      <w:tr w:rsidR="00071DD0" w:rsidRPr="007965F5" w14:paraId="1CF56B41" w14:textId="77777777" w:rsidTr="00E716BE">
        <w:tc>
          <w:tcPr>
            <w:tcW w:w="505" w:type="dxa"/>
          </w:tcPr>
          <w:p w14:paraId="07A397CF" w14:textId="7B92B157" w:rsidR="00071DD0" w:rsidRPr="007965F5" w:rsidRDefault="00071DD0" w:rsidP="00642F3F">
            <w:pPr>
              <w:jc w:val="center"/>
              <w:rPr>
                <w:color w:val="000000"/>
              </w:rPr>
            </w:pPr>
            <w:r>
              <w:rPr>
                <w:color w:val="000000"/>
              </w:rPr>
              <w:t>1</w:t>
            </w:r>
          </w:p>
        </w:tc>
        <w:tc>
          <w:tcPr>
            <w:tcW w:w="1056" w:type="dxa"/>
          </w:tcPr>
          <w:p w14:paraId="2A0395A0" w14:textId="252D4DAB" w:rsidR="00071DD0" w:rsidRPr="007965F5" w:rsidRDefault="00071DD0" w:rsidP="006F11C2">
            <w:pPr>
              <w:spacing w:before="100" w:beforeAutospacing="1" w:after="100" w:afterAutospacing="1"/>
              <w:jc w:val="center"/>
              <w:rPr>
                <w:color w:val="000000"/>
              </w:rPr>
            </w:pPr>
            <w:r>
              <w:rPr>
                <w:color w:val="000000"/>
              </w:rPr>
              <w:t>2</w:t>
            </w:r>
          </w:p>
        </w:tc>
        <w:tc>
          <w:tcPr>
            <w:tcW w:w="1810" w:type="dxa"/>
          </w:tcPr>
          <w:p w14:paraId="668FE228" w14:textId="04AF18E1" w:rsidR="00071DD0" w:rsidRPr="007965F5" w:rsidRDefault="00071DD0" w:rsidP="006F11C2">
            <w:pPr>
              <w:jc w:val="center"/>
              <w:rPr>
                <w:color w:val="000000"/>
              </w:rPr>
            </w:pPr>
            <w:r>
              <w:rPr>
                <w:color w:val="000000"/>
              </w:rPr>
              <w:t>3</w:t>
            </w:r>
          </w:p>
        </w:tc>
        <w:tc>
          <w:tcPr>
            <w:tcW w:w="6122" w:type="dxa"/>
          </w:tcPr>
          <w:p w14:paraId="38E3F9DD" w14:textId="789E8821" w:rsidR="00071DD0" w:rsidRPr="007965F5" w:rsidRDefault="00071DD0" w:rsidP="006F11C2">
            <w:pPr>
              <w:jc w:val="center"/>
              <w:rPr>
                <w:color w:val="000000"/>
              </w:rPr>
            </w:pPr>
            <w:r>
              <w:rPr>
                <w:color w:val="000000"/>
              </w:rPr>
              <w:t>4</w:t>
            </w:r>
          </w:p>
        </w:tc>
      </w:tr>
      <w:tr w:rsidR="007965F5" w:rsidRPr="007965F5" w14:paraId="3F8C62DC" w14:textId="77777777" w:rsidTr="00E716BE">
        <w:tc>
          <w:tcPr>
            <w:tcW w:w="505" w:type="dxa"/>
          </w:tcPr>
          <w:p w14:paraId="466838F1" w14:textId="77777777" w:rsidR="007965F5" w:rsidRPr="007965F5" w:rsidRDefault="007965F5" w:rsidP="007965F5">
            <w:pPr>
              <w:jc w:val="center"/>
              <w:rPr>
                <w:color w:val="000000"/>
              </w:rPr>
            </w:pPr>
            <w:r w:rsidRPr="007965F5">
              <w:rPr>
                <w:color w:val="000000"/>
              </w:rPr>
              <w:t>6</w:t>
            </w:r>
          </w:p>
        </w:tc>
        <w:tc>
          <w:tcPr>
            <w:tcW w:w="1056" w:type="dxa"/>
          </w:tcPr>
          <w:p w14:paraId="275D4760" w14:textId="77777777" w:rsidR="007965F5" w:rsidRPr="007965F5" w:rsidRDefault="007965F5" w:rsidP="007965F5">
            <w:pPr>
              <w:spacing w:before="100" w:beforeAutospacing="1" w:after="100" w:afterAutospacing="1"/>
              <w:jc w:val="left"/>
              <w:rPr>
                <w:color w:val="000000"/>
              </w:rPr>
            </w:pPr>
            <w:r w:rsidRPr="007965F5">
              <w:rPr>
                <w:color w:val="000000"/>
              </w:rPr>
              <w:t>210000 410100 410200 410300 410400 410600 410700</w:t>
            </w:r>
          </w:p>
        </w:tc>
        <w:tc>
          <w:tcPr>
            <w:tcW w:w="1810" w:type="dxa"/>
          </w:tcPr>
          <w:p w14:paraId="4087EED7" w14:textId="77777777" w:rsidR="007965F5" w:rsidRPr="007965F5" w:rsidRDefault="007965F5" w:rsidP="007965F5">
            <w:pPr>
              <w:jc w:val="left"/>
              <w:rPr>
                <w:color w:val="000000"/>
              </w:rPr>
            </w:pPr>
            <w:r w:rsidRPr="007965F5">
              <w:rPr>
                <w:color w:val="000000"/>
              </w:rPr>
              <w:t>220040 420140 420240 420340 420440 420640 420740</w:t>
            </w:r>
          </w:p>
        </w:tc>
        <w:tc>
          <w:tcPr>
            <w:tcW w:w="6122" w:type="dxa"/>
          </w:tcPr>
          <w:p w14:paraId="39E27417" w14:textId="77777777" w:rsidR="007965F5" w:rsidRPr="007965F5" w:rsidRDefault="007965F5" w:rsidP="007965F5">
            <w:pPr>
              <w:jc w:val="left"/>
              <w:rPr>
                <w:color w:val="000000"/>
              </w:rPr>
            </w:pPr>
            <w:r w:rsidRPr="007965F5">
              <w:rPr>
                <w:color w:val="000000"/>
              </w:rPr>
              <w:t>балансові рахунки власників (на кількість ОВДП, що були заблоковані)</w:t>
            </w:r>
          </w:p>
        </w:tc>
      </w:tr>
      <w:tr w:rsidR="007965F5" w:rsidRPr="007965F5" w14:paraId="51B8B87C" w14:textId="77777777" w:rsidTr="00E716BE">
        <w:tc>
          <w:tcPr>
            <w:tcW w:w="505" w:type="dxa"/>
          </w:tcPr>
          <w:p w14:paraId="07B956DC" w14:textId="77777777" w:rsidR="007965F5" w:rsidRPr="007965F5" w:rsidRDefault="007965F5" w:rsidP="007965F5">
            <w:pPr>
              <w:jc w:val="center"/>
              <w:rPr>
                <w:color w:val="000000"/>
              </w:rPr>
            </w:pPr>
            <w:r w:rsidRPr="007965F5">
              <w:rPr>
                <w:color w:val="000000"/>
              </w:rPr>
              <w:t>7</w:t>
            </w:r>
          </w:p>
        </w:tc>
        <w:tc>
          <w:tcPr>
            <w:tcW w:w="8988" w:type="dxa"/>
            <w:gridSpan w:val="3"/>
          </w:tcPr>
          <w:p w14:paraId="6C45ED97" w14:textId="77777777" w:rsidR="007965F5" w:rsidRPr="007965F5" w:rsidRDefault="007965F5" w:rsidP="007965F5">
            <w:pPr>
              <w:jc w:val="left"/>
              <w:rPr>
                <w:color w:val="000000"/>
              </w:rPr>
            </w:pPr>
            <w:r w:rsidRPr="007965F5">
              <w:rPr>
                <w:color w:val="000000"/>
              </w:rPr>
              <w:t>Переведення ОВДП в обігу на рахунок емітента</w:t>
            </w:r>
            <w:r w:rsidRPr="007965F5">
              <w:t xml:space="preserve"> </w:t>
            </w:r>
            <w:r w:rsidRPr="007965F5">
              <w:rPr>
                <w:color w:val="000000"/>
              </w:rPr>
              <w:t>під час аукціону з обміну ОВДП</w:t>
            </w:r>
          </w:p>
        </w:tc>
      </w:tr>
    </w:tbl>
    <w:p w14:paraId="368A45FD" w14:textId="77777777" w:rsidR="007965F5" w:rsidRPr="007965F5" w:rsidRDefault="007965F5" w:rsidP="0057309A">
      <w:pPr>
        <w:ind w:left="709"/>
        <w:jc w:val="right"/>
      </w:pPr>
      <w:r w:rsidRPr="00571F58">
        <w:rPr>
          <w:lang w:val="ru-RU"/>
        </w:rPr>
        <w:t>”</w:t>
      </w:r>
      <w:r>
        <w:t>;</w:t>
      </w:r>
    </w:p>
    <w:p w14:paraId="71ABC5B0" w14:textId="0BA61F5F" w:rsidR="00500B4B" w:rsidRDefault="002B20C4" w:rsidP="00511813">
      <w:pPr>
        <w:ind w:firstLine="709"/>
      </w:pPr>
      <w:r>
        <w:t xml:space="preserve">таблицю </w:t>
      </w:r>
      <w:r w:rsidR="0057309A">
        <w:t xml:space="preserve">після рядка 7 доповнити дев’ятьма новими рядками </w:t>
      </w:r>
      <w:r w:rsidR="00915AE8">
        <w:t xml:space="preserve">8-16 </w:t>
      </w:r>
      <w:r w:rsidR="0057309A">
        <w:t>такого змісту:</w:t>
      </w:r>
    </w:p>
    <w:p w14:paraId="65CBD56A" w14:textId="77777777" w:rsidR="00581E91" w:rsidRDefault="0057309A" w:rsidP="00511813">
      <w:pPr>
        <w:ind w:firstLine="709"/>
        <w:rPr>
          <w:lang w:val="en-US"/>
        </w:rPr>
      </w:pPr>
      <w:r>
        <w:rPr>
          <w:lang w:val="en-US"/>
        </w:rPr>
        <w:t>“</w:t>
      </w:r>
    </w:p>
    <w:tbl>
      <w:tblPr>
        <w:tblStyle w:val="a9"/>
        <w:tblW w:w="0" w:type="auto"/>
        <w:tblLook w:val="04A0" w:firstRow="1" w:lastRow="0" w:firstColumn="1" w:lastColumn="0" w:noHBand="0" w:noVBand="1"/>
      </w:tblPr>
      <w:tblGrid>
        <w:gridCol w:w="505"/>
        <w:gridCol w:w="1056"/>
        <w:gridCol w:w="1883"/>
        <w:gridCol w:w="6049"/>
      </w:tblGrid>
      <w:tr w:rsidR="00915AE8" w:rsidRPr="00581E91" w14:paraId="623590EA" w14:textId="77777777" w:rsidTr="00E716BE">
        <w:tc>
          <w:tcPr>
            <w:tcW w:w="505" w:type="dxa"/>
          </w:tcPr>
          <w:p w14:paraId="707A2E1F" w14:textId="08EAEB42" w:rsidR="00915AE8" w:rsidRPr="00581E91" w:rsidRDefault="00915AE8" w:rsidP="00915AE8">
            <w:pPr>
              <w:jc w:val="center"/>
              <w:rPr>
                <w:color w:val="000000"/>
              </w:rPr>
            </w:pPr>
            <w:r>
              <w:rPr>
                <w:color w:val="000000"/>
              </w:rPr>
              <w:t>1</w:t>
            </w:r>
          </w:p>
        </w:tc>
        <w:tc>
          <w:tcPr>
            <w:tcW w:w="1056" w:type="dxa"/>
          </w:tcPr>
          <w:p w14:paraId="1A485360" w14:textId="5D91901A" w:rsidR="00915AE8" w:rsidRPr="00581E91" w:rsidRDefault="00915AE8" w:rsidP="006F11C2">
            <w:pPr>
              <w:jc w:val="center"/>
              <w:rPr>
                <w:color w:val="000000"/>
              </w:rPr>
            </w:pPr>
            <w:r>
              <w:rPr>
                <w:color w:val="000000"/>
              </w:rPr>
              <w:t>2</w:t>
            </w:r>
          </w:p>
        </w:tc>
        <w:tc>
          <w:tcPr>
            <w:tcW w:w="1883" w:type="dxa"/>
          </w:tcPr>
          <w:p w14:paraId="63B343F1" w14:textId="0C7AC352" w:rsidR="00915AE8" w:rsidRPr="00581E91" w:rsidRDefault="00915AE8" w:rsidP="006F11C2">
            <w:pPr>
              <w:jc w:val="center"/>
              <w:rPr>
                <w:color w:val="000000"/>
              </w:rPr>
            </w:pPr>
            <w:r>
              <w:rPr>
                <w:color w:val="000000"/>
              </w:rPr>
              <w:t>3</w:t>
            </w:r>
          </w:p>
        </w:tc>
        <w:tc>
          <w:tcPr>
            <w:tcW w:w="6049" w:type="dxa"/>
          </w:tcPr>
          <w:p w14:paraId="6F426BFC" w14:textId="5EAA6988" w:rsidR="00915AE8" w:rsidRPr="00581E91" w:rsidRDefault="00915AE8" w:rsidP="006F11C2">
            <w:pPr>
              <w:jc w:val="center"/>
              <w:rPr>
                <w:color w:val="000000"/>
              </w:rPr>
            </w:pPr>
            <w:r>
              <w:rPr>
                <w:color w:val="000000"/>
              </w:rPr>
              <w:t>4</w:t>
            </w:r>
          </w:p>
        </w:tc>
      </w:tr>
      <w:tr w:rsidR="00581E91" w:rsidRPr="00581E91" w14:paraId="4D8CC751" w14:textId="77777777" w:rsidTr="00E716BE">
        <w:tc>
          <w:tcPr>
            <w:tcW w:w="505" w:type="dxa"/>
          </w:tcPr>
          <w:p w14:paraId="57C733AD" w14:textId="77777777" w:rsidR="00581E91" w:rsidRPr="00581E91" w:rsidRDefault="00581E91" w:rsidP="00581E91">
            <w:pPr>
              <w:jc w:val="center"/>
              <w:rPr>
                <w:color w:val="000000"/>
              </w:rPr>
            </w:pPr>
            <w:r w:rsidRPr="00581E91">
              <w:rPr>
                <w:color w:val="000000"/>
              </w:rPr>
              <w:t>8</w:t>
            </w:r>
          </w:p>
        </w:tc>
        <w:tc>
          <w:tcPr>
            <w:tcW w:w="1056" w:type="dxa"/>
          </w:tcPr>
          <w:p w14:paraId="10164A78" w14:textId="77777777" w:rsidR="00581E91" w:rsidRPr="00581E91" w:rsidRDefault="00581E91" w:rsidP="00581E91">
            <w:pPr>
              <w:jc w:val="left"/>
              <w:rPr>
                <w:color w:val="000000"/>
              </w:rPr>
            </w:pPr>
            <w:r w:rsidRPr="00581E91">
              <w:rPr>
                <w:color w:val="000000"/>
              </w:rPr>
              <w:t>220040 420140 420240 420340 420440 420640 420740</w:t>
            </w:r>
          </w:p>
        </w:tc>
        <w:tc>
          <w:tcPr>
            <w:tcW w:w="1883" w:type="dxa"/>
          </w:tcPr>
          <w:p w14:paraId="4233902C" w14:textId="77777777" w:rsidR="00581E91" w:rsidRPr="00581E91" w:rsidRDefault="00581E91" w:rsidP="00581E91">
            <w:pPr>
              <w:jc w:val="left"/>
              <w:rPr>
                <w:color w:val="000000"/>
              </w:rPr>
            </w:pPr>
            <w:r w:rsidRPr="00581E91">
              <w:rPr>
                <w:color w:val="000000"/>
              </w:rPr>
              <w:t>122000</w:t>
            </w:r>
          </w:p>
        </w:tc>
        <w:tc>
          <w:tcPr>
            <w:tcW w:w="6049" w:type="dxa"/>
          </w:tcPr>
          <w:p w14:paraId="4F2EB2C3" w14:textId="77777777" w:rsidR="00581E91" w:rsidRPr="00581E91" w:rsidRDefault="00581E91" w:rsidP="00581E91">
            <w:pPr>
              <w:jc w:val="left"/>
              <w:rPr>
                <w:color w:val="000000"/>
              </w:rPr>
            </w:pPr>
            <w:r w:rsidRPr="00581E91">
              <w:rPr>
                <w:color w:val="000000"/>
              </w:rPr>
              <w:t>балансові рахунки власників після переведення ОВДП на балансовий рахунок емітента</w:t>
            </w:r>
          </w:p>
        </w:tc>
      </w:tr>
      <w:tr w:rsidR="00581E91" w:rsidRPr="00581E91" w14:paraId="1839468D" w14:textId="77777777" w:rsidTr="00E716BE">
        <w:tc>
          <w:tcPr>
            <w:tcW w:w="505" w:type="dxa"/>
          </w:tcPr>
          <w:p w14:paraId="2CC75E85" w14:textId="77777777" w:rsidR="00581E91" w:rsidRPr="00581E91" w:rsidRDefault="00581E91" w:rsidP="00581E91">
            <w:pPr>
              <w:jc w:val="center"/>
              <w:rPr>
                <w:color w:val="000000"/>
              </w:rPr>
            </w:pPr>
            <w:r w:rsidRPr="00581E91">
              <w:rPr>
                <w:color w:val="000000"/>
              </w:rPr>
              <w:t>9</w:t>
            </w:r>
          </w:p>
        </w:tc>
        <w:tc>
          <w:tcPr>
            <w:tcW w:w="1056" w:type="dxa"/>
          </w:tcPr>
          <w:p w14:paraId="7781E3F6" w14:textId="77777777" w:rsidR="00581E91" w:rsidRPr="00581E91" w:rsidRDefault="00A45018" w:rsidP="00581E91">
            <w:pPr>
              <w:jc w:val="left"/>
              <w:rPr>
                <w:color w:val="000000"/>
              </w:rPr>
            </w:pPr>
            <w:r>
              <w:rPr>
                <w:color w:val="000000"/>
              </w:rPr>
              <w:t>123</w:t>
            </w:r>
            <w:r w:rsidR="00581E91" w:rsidRPr="00581E91">
              <w:rPr>
                <w:color w:val="000000"/>
              </w:rPr>
              <w:t>000</w:t>
            </w:r>
          </w:p>
        </w:tc>
        <w:tc>
          <w:tcPr>
            <w:tcW w:w="1883" w:type="dxa"/>
          </w:tcPr>
          <w:p w14:paraId="4D1357CA" w14:textId="77777777" w:rsidR="00581E91" w:rsidRPr="00581E91" w:rsidRDefault="00581E91" w:rsidP="00581E91">
            <w:pPr>
              <w:jc w:val="left"/>
              <w:rPr>
                <w:color w:val="000000"/>
              </w:rPr>
            </w:pPr>
            <w:r w:rsidRPr="00581E91">
              <w:rPr>
                <w:color w:val="000000"/>
              </w:rPr>
              <w:t>622000</w:t>
            </w:r>
          </w:p>
        </w:tc>
        <w:tc>
          <w:tcPr>
            <w:tcW w:w="6049" w:type="dxa"/>
          </w:tcPr>
          <w:p w14:paraId="7A1BD14C" w14:textId="77777777" w:rsidR="00581E91" w:rsidRPr="00581E91" w:rsidRDefault="00581E91" w:rsidP="00581E91">
            <w:pPr>
              <w:jc w:val="left"/>
              <w:rPr>
                <w:color w:val="000000"/>
              </w:rPr>
            </w:pPr>
            <w:r w:rsidRPr="00581E91">
              <w:rPr>
                <w:color w:val="000000"/>
              </w:rPr>
              <w:t>балансовий рахунок емітента</w:t>
            </w:r>
          </w:p>
        </w:tc>
      </w:tr>
      <w:tr w:rsidR="00581E91" w:rsidRPr="00581E91" w14:paraId="0A9437AB" w14:textId="77777777" w:rsidTr="00E716BE">
        <w:tc>
          <w:tcPr>
            <w:tcW w:w="505" w:type="dxa"/>
          </w:tcPr>
          <w:p w14:paraId="68543F1A" w14:textId="77777777" w:rsidR="00581E91" w:rsidRPr="00581E91" w:rsidRDefault="00581E91" w:rsidP="00581E91">
            <w:pPr>
              <w:jc w:val="center"/>
              <w:rPr>
                <w:color w:val="000000"/>
              </w:rPr>
            </w:pPr>
            <w:r w:rsidRPr="00581E91">
              <w:rPr>
                <w:color w:val="000000"/>
              </w:rPr>
              <w:t>10</w:t>
            </w:r>
          </w:p>
        </w:tc>
        <w:tc>
          <w:tcPr>
            <w:tcW w:w="8988" w:type="dxa"/>
            <w:gridSpan w:val="3"/>
          </w:tcPr>
          <w:p w14:paraId="0305A4E9" w14:textId="77777777" w:rsidR="00581E91" w:rsidRPr="00581E91" w:rsidRDefault="00581E91" w:rsidP="00581E91">
            <w:pPr>
              <w:jc w:val="left"/>
              <w:rPr>
                <w:color w:val="000000"/>
              </w:rPr>
            </w:pPr>
            <w:r w:rsidRPr="00581E91">
              <w:rPr>
                <w:color w:val="000000"/>
              </w:rPr>
              <w:t>Анулювання ОВДП</w:t>
            </w:r>
          </w:p>
        </w:tc>
      </w:tr>
      <w:tr w:rsidR="00581E91" w:rsidRPr="00581E91" w14:paraId="324E66F3" w14:textId="77777777" w:rsidTr="00E716BE">
        <w:tc>
          <w:tcPr>
            <w:tcW w:w="505" w:type="dxa"/>
          </w:tcPr>
          <w:p w14:paraId="7328575D" w14:textId="77777777" w:rsidR="00581E91" w:rsidRPr="00581E91" w:rsidRDefault="00581E91" w:rsidP="00581E91">
            <w:pPr>
              <w:jc w:val="center"/>
              <w:rPr>
                <w:color w:val="000000"/>
              </w:rPr>
            </w:pPr>
            <w:r w:rsidRPr="00581E91">
              <w:rPr>
                <w:color w:val="000000"/>
              </w:rPr>
              <w:t>11</w:t>
            </w:r>
          </w:p>
        </w:tc>
        <w:tc>
          <w:tcPr>
            <w:tcW w:w="1056" w:type="dxa"/>
          </w:tcPr>
          <w:p w14:paraId="6DAC7D1D" w14:textId="77777777" w:rsidR="00581E91" w:rsidRPr="00581E91" w:rsidRDefault="00581E91" w:rsidP="00581E91">
            <w:pPr>
              <w:jc w:val="left"/>
              <w:rPr>
                <w:color w:val="000000"/>
              </w:rPr>
            </w:pPr>
            <w:r w:rsidRPr="00581E91">
              <w:rPr>
                <w:color w:val="000000"/>
              </w:rPr>
              <w:t>622000</w:t>
            </w:r>
          </w:p>
        </w:tc>
        <w:tc>
          <w:tcPr>
            <w:tcW w:w="1883" w:type="dxa"/>
          </w:tcPr>
          <w:p w14:paraId="0D48B9A6" w14:textId="77777777" w:rsidR="00581E91" w:rsidRPr="00581E91" w:rsidRDefault="00581E91" w:rsidP="00581E91">
            <w:pPr>
              <w:jc w:val="left"/>
              <w:rPr>
                <w:color w:val="000000"/>
              </w:rPr>
            </w:pPr>
            <w:r w:rsidRPr="00581E91">
              <w:rPr>
                <w:color w:val="000000"/>
              </w:rPr>
              <w:t>123000</w:t>
            </w:r>
          </w:p>
        </w:tc>
        <w:tc>
          <w:tcPr>
            <w:tcW w:w="6049" w:type="dxa"/>
          </w:tcPr>
          <w:p w14:paraId="3A06CF60" w14:textId="77777777" w:rsidR="00581E91" w:rsidRPr="00581E91" w:rsidRDefault="00581E91" w:rsidP="00581E91">
            <w:pPr>
              <w:jc w:val="left"/>
              <w:rPr>
                <w:color w:val="000000"/>
              </w:rPr>
            </w:pPr>
            <w:r w:rsidRPr="00581E91">
              <w:rPr>
                <w:color w:val="000000"/>
              </w:rPr>
              <w:t>балансовий рахунок емітента</w:t>
            </w:r>
          </w:p>
        </w:tc>
      </w:tr>
      <w:tr w:rsidR="00581E91" w:rsidRPr="00581E91" w14:paraId="3EF0BA73" w14:textId="77777777" w:rsidTr="00E716BE">
        <w:tc>
          <w:tcPr>
            <w:tcW w:w="505" w:type="dxa"/>
          </w:tcPr>
          <w:p w14:paraId="04D0404A" w14:textId="77777777" w:rsidR="00581E91" w:rsidRPr="00581E91" w:rsidRDefault="00581E91" w:rsidP="00581E91">
            <w:pPr>
              <w:jc w:val="center"/>
              <w:rPr>
                <w:color w:val="000000"/>
              </w:rPr>
            </w:pPr>
            <w:r w:rsidRPr="00581E91">
              <w:rPr>
                <w:color w:val="000000"/>
              </w:rPr>
              <w:t>12</w:t>
            </w:r>
          </w:p>
        </w:tc>
        <w:tc>
          <w:tcPr>
            <w:tcW w:w="8988" w:type="dxa"/>
            <w:gridSpan w:val="3"/>
          </w:tcPr>
          <w:p w14:paraId="443EF95A" w14:textId="77777777" w:rsidR="00581E91" w:rsidRPr="00581E91" w:rsidRDefault="00581E91" w:rsidP="00581E91">
            <w:pPr>
              <w:jc w:val="left"/>
              <w:rPr>
                <w:color w:val="000000"/>
              </w:rPr>
            </w:pPr>
            <w:r w:rsidRPr="00581E91">
              <w:rPr>
                <w:color w:val="000000"/>
              </w:rPr>
              <w:t>у разі несплати коштів за ОВДП:</w:t>
            </w:r>
          </w:p>
        </w:tc>
      </w:tr>
      <w:tr w:rsidR="00581E91" w:rsidRPr="00581E91" w14:paraId="1C508E12" w14:textId="77777777" w:rsidTr="00E716BE">
        <w:tc>
          <w:tcPr>
            <w:tcW w:w="505" w:type="dxa"/>
          </w:tcPr>
          <w:p w14:paraId="342DB5EE" w14:textId="77777777" w:rsidR="00581E91" w:rsidRPr="00581E91" w:rsidRDefault="00581E91" w:rsidP="00581E91">
            <w:pPr>
              <w:jc w:val="center"/>
              <w:rPr>
                <w:color w:val="000000"/>
              </w:rPr>
            </w:pPr>
            <w:r w:rsidRPr="00581E91">
              <w:rPr>
                <w:color w:val="000000"/>
              </w:rPr>
              <w:t>13</w:t>
            </w:r>
          </w:p>
        </w:tc>
        <w:tc>
          <w:tcPr>
            <w:tcW w:w="1056" w:type="dxa"/>
          </w:tcPr>
          <w:p w14:paraId="58A9315E" w14:textId="77777777" w:rsidR="00581E91" w:rsidRPr="00581E91" w:rsidRDefault="00581E91" w:rsidP="00581E91">
            <w:pPr>
              <w:jc w:val="left"/>
              <w:rPr>
                <w:color w:val="000000"/>
              </w:rPr>
            </w:pPr>
            <w:r w:rsidRPr="00581E91">
              <w:rPr>
                <w:color w:val="000000"/>
              </w:rPr>
              <w:t>220000</w:t>
            </w:r>
            <w:r w:rsidRPr="00581E91">
              <w:rPr>
                <w:color w:val="000000"/>
              </w:rPr>
              <w:br/>
              <w:t>420100</w:t>
            </w:r>
            <w:r w:rsidRPr="00581E91">
              <w:rPr>
                <w:color w:val="000000"/>
              </w:rPr>
              <w:br/>
              <w:t>420200</w:t>
            </w:r>
            <w:r w:rsidRPr="00581E91">
              <w:rPr>
                <w:color w:val="000000"/>
              </w:rPr>
              <w:br/>
              <w:t>420300</w:t>
            </w:r>
            <w:r w:rsidRPr="00581E91">
              <w:rPr>
                <w:color w:val="000000"/>
              </w:rPr>
              <w:br/>
              <w:t>420400</w:t>
            </w:r>
          </w:p>
          <w:p w14:paraId="6DD7CF0B" w14:textId="77777777" w:rsidR="00581E91" w:rsidRPr="00581E91" w:rsidRDefault="00581E91" w:rsidP="00581E91">
            <w:pPr>
              <w:jc w:val="left"/>
              <w:rPr>
                <w:color w:val="000000"/>
              </w:rPr>
            </w:pPr>
            <w:r w:rsidRPr="00581E91">
              <w:rPr>
                <w:color w:val="000000"/>
              </w:rPr>
              <w:t>420600</w:t>
            </w:r>
          </w:p>
          <w:p w14:paraId="0B2EC86B" w14:textId="77777777" w:rsidR="00581E91" w:rsidRPr="00581E91" w:rsidRDefault="00581E91" w:rsidP="00581E91">
            <w:pPr>
              <w:jc w:val="left"/>
              <w:rPr>
                <w:color w:val="000000"/>
              </w:rPr>
            </w:pPr>
            <w:r w:rsidRPr="00581E91">
              <w:rPr>
                <w:color w:val="000000"/>
              </w:rPr>
              <w:t>420700</w:t>
            </w:r>
          </w:p>
        </w:tc>
        <w:tc>
          <w:tcPr>
            <w:tcW w:w="1883" w:type="dxa"/>
          </w:tcPr>
          <w:p w14:paraId="1CCB683F" w14:textId="77777777" w:rsidR="00581E91" w:rsidRPr="00581E91" w:rsidRDefault="00581E91" w:rsidP="00581E91">
            <w:pPr>
              <w:jc w:val="left"/>
              <w:rPr>
                <w:color w:val="000000"/>
              </w:rPr>
            </w:pPr>
            <w:r w:rsidRPr="00581E91">
              <w:rPr>
                <w:color w:val="000000"/>
              </w:rPr>
              <w:t>122000</w:t>
            </w:r>
          </w:p>
        </w:tc>
        <w:tc>
          <w:tcPr>
            <w:tcW w:w="6049" w:type="dxa"/>
          </w:tcPr>
          <w:p w14:paraId="426AF547" w14:textId="77777777" w:rsidR="00581E91" w:rsidRPr="00581E91" w:rsidRDefault="00581E91" w:rsidP="00581E91">
            <w:pPr>
              <w:jc w:val="left"/>
              <w:rPr>
                <w:color w:val="000000"/>
              </w:rPr>
            </w:pPr>
            <w:r w:rsidRPr="00581E91">
              <w:rPr>
                <w:color w:val="000000"/>
              </w:rPr>
              <w:t>балансові рахунки власників (на кількість ОВДП, що не були оплачені)</w:t>
            </w:r>
          </w:p>
        </w:tc>
      </w:tr>
      <w:tr w:rsidR="00581E91" w:rsidRPr="00581E91" w14:paraId="2745FFB6" w14:textId="77777777" w:rsidTr="00E716BE">
        <w:tc>
          <w:tcPr>
            <w:tcW w:w="505" w:type="dxa"/>
          </w:tcPr>
          <w:p w14:paraId="596703E2" w14:textId="77777777" w:rsidR="00581E91" w:rsidRPr="00581E91" w:rsidRDefault="00581E91" w:rsidP="00581E91">
            <w:pPr>
              <w:jc w:val="center"/>
              <w:rPr>
                <w:color w:val="000000"/>
              </w:rPr>
            </w:pPr>
            <w:r w:rsidRPr="00581E91">
              <w:rPr>
                <w:color w:val="000000"/>
              </w:rPr>
              <w:t>14</w:t>
            </w:r>
          </w:p>
        </w:tc>
        <w:tc>
          <w:tcPr>
            <w:tcW w:w="1056" w:type="dxa"/>
          </w:tcPr>
          <w:p w14:paraId="600CC98B" w14:textId="77777777" w:rsidR="00581E91" w:rsidRPr="00581E91" w:rsidRDefault="00581E91" w:rsidP="00581E91">
            <w:pPr>
              <w:jc w:val="left"/>
              <w:rPr>
                <w:color w:val="000000"/>
              </w:rPr>
            </w:pPr>
            <w:r w:rsidRPr="00581E91">
              <w:rPr>
                <w:color w:val="000000"/>
              </w:rPr>
              <w:t>122000</w:t>
            </w:r>
            <w:r w:rsidRPr="00581E91">
              <w:rPr>
                <w:color w:val="000000"/>
              </w:rPr>
              <w:br/>
              <w:t>610000</w:t>
            </w:r>
          </w:p>
        </w:tc>
        <w:tc>
          <w:tcPr>
            <w:tcW w:w="1883" w:type="dxa"/>
          </w:tcPr>
          <w:p w14:paraId="659CCE88" w14:textId="77777777" w:rsidR="00581E91" w:rsidRPr="00581E91" w:rsidRDefault="00581E91" w:rsidP="00581E91">
            <w:pPr>
              <w:jc w:val="left"/>
              <w:rPr>
                <w:color w:val="000000"/>
              </w:rPr>
            </w:pPr>
            <w:r w:rsidRPr="00581E91">
              <w:rPr>
                <w:color w:val="000000"/>
              </w:rPr>
              <w:t>610000</w:t>
            </w:r>
            <w:r w:rsidRPr="00581E91">
              <w:rPr>
                <w:color w:val="000000"/>
              </w:rPr>
              <w:br/>
              <w:t>122000</w:t>
            </w:r>
          </w:p>
        </w:tc>
        <w:tc>
          <w:tcPr>
            <w:tcW w:w="6049" w:type="dxa"/>
          </w:tcPr>
          <w:p w14:paraId="4BAC2CF8" w14:textId="77777777" w:rsidR="00581E91" w:rsidRPr="00581E91" w:rsidRDefault="00581E91" w:rsidP="00581E91">
            <w:pPr>
              <w:jc w:val="left"/>
              <w:rPr>
                <w:color w:val="000000"/>
              </w:rPr>
            </w:pPr>
            <w:r w:rsidRPr="00581E91">
              <w:rPr>
                <w:color w:val="000000"/>
              </w:rPr>
              <w:t>балансовий рахунок емітента</w:t>
            </w:r>
          </w:p>
        </w:tc>
      </w:tr>
      <w:tr w:rsidR="00581E91" w:rsidRPr="00581E91" w14:paraId="669602A8" w14:textId="77777777" w:rsidTr="00E716BE">
        <w:tc>
          <w:tcPr>
            <w:tcW w:w="505" w:type="dxa"/>
          </w:tcPr>
          <w:p w14:paraId="436FA5E2" w14:textId="77777777" w:rsidR="00581E91" w:rsidRPr="00581E91" w:rsidRDefault="00581E91" w:rsidP="00581E91">
            <w:pPr>
              <w:jc w:val="center"/>
              <w:rPr>
                <w:color w:val="000000"/>
              </w:rPr>
            </w:pPr>
            <w:r w:rsidRPr="00581E91">
              <w:rPr>
                <w:color w:val="000000"/>
              </w:rPr>
              <w:t>15</w:t>
            </w:r>
          </w:p>
        </w:tc>
        <w:tc>
          <w:tcPr>
            <w:tcW w:w="8988" w:type="dxa"/>
            <w:gridSpan w:val="3"/>
          </w:tcPr>
          <w:p w14:paraId="2D3BB4DB" w14:textId="77777777" w:rsidR="00581E91" w:rsidRPr="00581E91" w:rsidRDefault="00581E91" w:rsidP="00581E91">
            <w:pPr>
              <w:jc w:val="left"/>
              <w:rPr>
                <w:color w:val="000000"/>
              </w:rPr>
            </w:pPr>
            <w:r w:rsidRPr="00581E91">
              <w:rPr>
                <w:color w:val="000000"/>
              </w:rPr>
              <w:t>Розблокування ОВДП в обігу, у разі не виконання умов аукціону з обміну ОВДП</w:t>
            </w:r>
          </w:p>
        </w:tc>
      </w:tr>
    </w:tbl>
    <w:p w14:paraId="2A99B74B" w14:textId="22FF8778" w:rsidR="00071DD0" w:rsidRDefault="00071DD0"/>
    <w:p w14:paraId="3FFCDC3D" w14:textId="2481975A" w:rsidR="00071DD0" w:rsidRDefault="00071DD0"/>
    <w:p w14:paraId="1A9826E6" w14:textId="77777777" w:rsidR="00E716BE" w:rsidRDefault="00E716BE"/>
    <w:p w14:paraId="0FC4AB6D" w14:textId="7F0E402C" w:rsidR="00071DD0" w:rsidRDefault="00071DD0" w:rsidP="00071DD0">
      <w:pPr>
        <w:jc w:val="right"/>
      </w:pPr>
      <w:r>
        <w:t>Продовження додатк</w:t>
      </w:r>
      <w:r w:rsidR="00B97EC5">
        <w:t>а</w:t>
      </w:r>
      <w:r>
        <w:t xml:space="preserve"> 3 </w:t>
      </w:r>
    </w:p>
    <w:p w14:paraId="08725730" w14:textId="30D39659" w:rsidR="00071DD0" w:rsidRDefault="00071DD0" w:rsidP="006F11C2">
      <w:pPr>
        <w:jc w:val="right"/>
      </w:pPr>
      <w:r>
        <w:t>Продовження таблиці</w:t>
      </w:r>
    </w:p>
    <w:tbl>
      <w:tblPr>
        <w:tblStyle w:val="a9"/>
        <w:tblW w:w="0" w:type="auto"/>
        <w:tblLook w:val="04A0" w:firstRow="1" w:lastRow="0" w:firstColumn="1" w:lastColumn="0" w:noHBand="0" w:noVBand="1"/>
      </w:tblPr>
      <w:tblGrid>
        <w:gridCol w:w="505"/>
        <w:gridCol w:w="1056"/>
        <w:gridCol w:w="1883"/>
        <w:gridCol w:w="5907"/>
      </w:tblGrid>
      <w:tr w:rsidR="00071DD0" w:rsidRPr="00581E91" w14:paraId="3B74A868" w14:textId="77777777" w:rsidTr="00E716BE">
        <w:trPr>
          <w:trHeight w:val="258"/>
        </w:trPr>
        <w:tc>
          <w:tcPr>
            <w:tcW w:w="505" w:type="dxa"/>
          </w:tcPr>
          <w:p w14:paraId="2E62B1D4" w14:textId="4392D240" w:rsidR="00071DD0" w:rsidRPr="00581E91" w:rsidRDefault="00071DD0" w:rsidP="00642F3F">
            <w:pPr>
              <w:jc w:val="center"/>
              <w:rPr>
                <w:color w:val="000000"/>
              </w:rPr>
            </w:pPr>
            <w:r>
              <w:rPr>
                <w:color w:val="000000"/>
              </w:rPr>
              <w:t>1</w:t>
            </w:r>
          </w:p>
        </w:tc>
        <w:tc>
          <w:tcPr>
            <w:tcW w:w="1056" w:type="dxa"/>
          </w:tcPr>
          <w:p w14:paraId="1B4CEF61" w14:textId="225F99D4" w:rsidR="00071DD0" w:rsidRPr="00581E91" w:rsidRDefault="00071DD0" w:rsidP="006F11C2">
            <w:pPr>
              <w:jc w:val="center"/>
              <w:rPr>
                <w:color w:val="000000"/>
              </w:rPr>
            </w:pPr>
            <w:r>
              <w:rPr>
                <w:color w:val="000000"/>
              </w:rPr>
              <w:t>2</w:t>
            </w:r>
          </w:p>
        </w:tc>
        <w:tc>
          <w:tcPr>
            <w:tcW w:w="1883" w:type="dxa"/>
          </w:tcPr>
          <w:p w14:paraId="71881C26" w14:textId="04925698" w:rsidR="00071DD0" w:rsidRPr="00581E91" w:rsidRDefault="00071DD0" w:rsidP="006F11C2">
            <w:pPr>
              <w:jc w:val="center"/>
              <w:rPr>
                <w:color w:val="000000"/>
              </w:rPr>
            </w:pPr>
            <w:r>
              <w:rPr>
                <w:color w:val="000000"/>
              </w:rPr>
              <w:t>3</w:t>
            </w:r>
          </w:p>
        </w:tc>
        <w:tc>
          <w:tcPr>
            <w:tcW w:w="5907" w:type="dxa"/>
          </w:tcPr>
          <w:p w14:paraId="0DACDBB0" w14:textId="3867F767" w:rsidR="00071DD0" w:rsidRPr="00581E91" w:rsidRDefault="00071DD0" w:rsidP="006F11C2">
            <w:pPr>
              <w:jc w:val="center"/>
              <w:rPr>
                <w:color w:val="000000"/>
              </w:rPr>
            </w:pPr>
            <w:r>
              <w:rPr>
                <w:color w:val="000000"/>
              </w:rPr>
              <w:t>4</w:t>
            </w:r>
          </w:p>
        </w:tc>
      </w:tr>
      <w:tr w:rsidR="00581E91" w:rsidRPr="00581E91" w14:paraId="53087014" w14:textId="77777777" w:rsidTr="00E716BE">
        <w:trPr>
          <w:trHeight w:val="1734"/>
        </w:trPr>
        <w:tc>
          <w:tcPr>
            <w:tcW w:w="505" w:type="dxa"/>
          </w:tcPr>
          <w:p w14:paraId="23F0E3B7" w14:textId="77777777" w:rsidR="00581E91" w:rsidRPr="00581E91" w:rsidRDefault="00581E91" w:rsidP="00581E91">
            <w:pPr>
              <w:jc w:val="center"/>
              <w:rPr>
                <w:color w:val="000000"/>
              </w:rPr>
            </w:pPr>
            <w:r w:rsidRPr="00581E91">
              <w:rPr>
                <w:color w:val="000000"/>
              </w:rPr>
              <w:t>16</w:t>
            </w:r>
          </w:p>
        </w:tc>
        <w:tc>
          <w:tcPr>
            <w:tcW w:w="1056" w:type="dxa"/>
          </w:tcPr>
          <w:p w14:paraId="6B5CA08B" w14:textId="77777777" w:rsidR="00581E91" w:rsidRPr="00581E91" w:rsidRDefault="00581E91" w:rsidP="00581E91">
            <w:pPr>
              <w:jc w:val="left"/>
              <w:rPr>
                <w:color w:val="000000"/>
              </w:rPr>
            </w:pPr>
            <w:r w:rsidRPr="00581E91">
              <w:rPr>
                <w:color w:val="000000"/>
              </w:rPr>
              <w:t>220040 420140 420240 420340 420440 420640 420740</w:t>
            </w:r>
          </w:p>
        </w:tc>
        <w:tc>
          <w:tcPr>
            <w:tcW w:w="1883" w:type="dxa"/>
          </w:tcPr>
          <w:p w14:paraId="5B87F61F" w14:textId="77777777" w:rsidR="00581E91" w:rsidRPr="00581E91" w:rsidRDefault="00581E91" w:rsidP="00581E91">
            <w:pPr>
              <w:jc w:val="left"/>
              <w:rPr>
                <w:color w:val="000000"/>
              </w:rPr>
            </w:pPr>
            <w:r w:rsidRPr="00581E91">
              <w:rPr>
                <w:color w:val="000000"/>
              </w:rPr>
              <w:t>210000 410100 410200 410300 410400 410600 410700</w:t>
            </w:r>
          </w:p>
        </w:tc>
        <w:tc>
          <w:tcPr>
            <w:tcW w:w="5907" w:type="dxa"/>
          </w:tcPr>
          <w:p w14:paraId="09F9E665" w14:textId="77777777" w:rsidR="00581E91" w:rsidRPr="00581E91" w:rsidRDefault="00581E91" w:rsidP="00581E91">
            <w:pPr>
              <w:jc w:val="left"/>
              <w:rPr>
                <w:color w:val="000000"/>
              </w:rPr>
            </w:pPr>
            <w:r w:rsidRPr="00581E91">
              <w:rPr>
                <w:color w:val="000000"/>
              </w:rPr>
              <w:t>балансові рахунки власників (на кількість ОВДП, що не були оплачені)</w:t>
            </w:r>
          </w:p>
        </w:tc>
      </w:tr>
    </w:tbl>
    <w:p w14:paraId="05C0A2BC" w14:textId="77777777" w:rsidR="0057309A" w:rsidRDefault="0057309A" w:rsidP="001E6FA0">
      <w:pPr>
        <w:ind w:firstLine="709"/>
        <w:jc w:val="right"/>
      </w:pPr>
      <w:r w:rsidRPr="00571F58">
        <w:rPr>
          <w:lang w:val="ru-RU"/>
        </w:rPr>
        <w:t>”</w:t>
      </w:r>
      <w:r w:rsidR="001E6FA0">
        <w:t>.</w:t>
      </w:r>
    </w:p>
    <w:p w14:paraId="4A2FB640" w14:textId="77777777" w:rsidR="001E6FA0" w:rsidRDefault="001E6FA0" w:rsidP="00E44F28">
      <w:pPr>
        <w:ind w:firstLine="709"/>
      </w:pPr>
      <w:r>
        <w:t>У зв’язку з цим рядки 8-233 уважати відповідно рядками 17-</w:t>
      </w:r>
      <w:r w:rsidR="00E44F28">
        <w:t>242;</w:t>
      </w:r>
    </w:p>
    <w:p w14:paraId="236F98AF" w14:textId="77777777" w:rsidR="00E44F28" w:rsidRPr="009875EF" w:rsidRDefault="009875EF" w:rsidP="00E44F28">
      <w:pPr>
        <w:ind w:firstLine="709"/>
      </w:pPr>
      <w:r>
        <w:t>у</w:t>
      </w:r>
      <w:r w:rsidR="00E44F28">
        <w:t xml:space="preserve"> колонці 4 рядка 18</w:t>
      </w:r>
      <w:r>
        <w:t xml:space="preserve"> слово </w:t>
      </w:r>
      <w:r w:rsidRPr="00571F58">
        <w:rPr>
          <w:lang w:val="ru-RU"/>
        </w:rPr>
        <w:t>“</w:t>
      </w:r>
      <w:r>
        <w:t>емітентів</w:t>
      </w:r>
      <w:r w:rsidRPr="00571F58">
        <w:rPr>
          <w:lang w:val="ru-RU"/>
        </w:rPr>
        <w:t xml:space="preserve">” </w:t>
      </w:r>
      <w:r>
        <w:t xml:space="preserve">замінити словом </w:t>
      </w:r>
      <w:r w:rsidRPr="00571F58">
        <w:rPr>
          <w:lang w:val="ru-RU"/>
        </w:rPr>
        <w:t>“</w:t>
      </w:r>
      <w:r>
        <w:t>емітента</w:t>
      </w:r>
      <w:r w:rsidRPr="00571F58">
        <w:rPr>
          <w:lang w:val="ru-RU"/>
        </w:rPr>
        <w:t>”</w:t>
      </w:r>
      <w:r>
        <w:t>.</w:t>
      </w:r>
    </w:p>
    <w:p w14:paraId="0B41267A" w14:textId="77777777" w:rsidR="00C93AB1" w:rsidRPr="00FD179B" w:rsidRDefault="00C93AB1" w:rsidP="00511813">
      <w:pPr>
        <w:ind w:firstLine="709"/>
      </w:pPr>
    </w:p>
    <w:p w14:paraId="5D6DD2F0" w14:textId="77777777" w:rsidR="00FD179B" w:rsidRPr="00511813" w:rsidRDefault="00FD179B" w:rsidP="00511813">
      <w:pPr>
        <w:ind w:firstLine="709"/>
      </w:pPr>
    </w:p>
    <w:p w14:paraId="59421901" w14:textId="77777777" w:rsidR="00291A03" w:rsidRPr="00684884" w:rsidRDefault="00291A03" w:rsidP="00684884">
      <w:pPr>
        <w:ind w:left="709"/>
      </w:pPr>
    </w:p>
    <w:p w14:paraId="57C610B5" w14:textId="77777777" w:rsidR="00F278BA" w:rsidRDefault="00F278BA" w:rsidP="004541C5">
      <w:pPr>
        <w:ind w:left="709"/>
      </w:pPr>
    </w:p>
    <w:p w14:paraId="647BC552" w14:textId="77777777" w:rsidR="004541C5" w:rsidRPr="004541C5" w:rsidRDefault="004541C5" w:rsidP="004541C5">
      <w:pPr>
        <w:ind w:left="709"/>
        <w:jc w:val="center"/>
      </w:pPr>
    </w:p>
    <w:sectPr w:rsidR="004541C5" w:rsidRPr="004541C5" w:rsidSect="006F11C2">
      <w:headerReference w:type="default" r:id="rId16"/>
      <w:headerReference w:type="first" r:id="rId17"/>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E1472" w14:textId="77777777" w:rsidR="006F11C2" w:rsidRDefault="006F11C2" w:rsidP="00E53CCD">
      <w:r>
        <w:separator/>
      </w:r>
    </w:p>
  </w:endnote>
  <w:endnote w:type="continuationSeparator" w:id="0">
    <w:p w14:paraId="1532DD62" w14:textId="77777777" w:rsidR="006F11C2" w:rsidRDefault="006F11C2"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9D52C" w14:textId="77777777" w:rsidR="006F11C2" w:rsidRDefault="006F11C2" w:rsidP="00E53CCD">
      <w:r>
        <w:separator/>
      </w:r>
    </w:p>
  </w:footnote>
  <w:footnote w:type="continuationSeparator" w:id="0">
    <w:p w14:paraId="5E6175D0" w14:textId="77777777" w:rsidR="006F11C2" w:rsidRDefault="006F11C2"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811684"/>
      <w:docPartObj>
        <w:docPartGallery w:val="Page Numbers (Top of Page)"/>
        <w:docPartUnique/>
      </w:docPartObj>
    </w:sdtPr>
    <w:sdtEndPr/>
    <w:sdtContent>
      <w:p w14:paraId="389868E0" w14:textId="7CAA658C" w:rsidR="006F11C2" w:rsidRDefault="006F11C2">
        <w:pPr>
          <w:pStyle w:val="a5"/>
          <w:jc w:val="center"/>
        </w:pPr>
        <w:r>
          <w:fldChar w:fldCharType="begin"/>
        </w:r>
        <w:r>
          <w:instrText>PAGE   \* MERGEFORMAT</w:instrText>
        </w:r>
        <w:r>
          <w:fldChar w:fldCharType="separate"/>
        </w:r>
        <w:r w:rsidR="00384E7B">
          <w:rPr>
            <w:noProof/>
          </w:rPr>
          <w:t>2</w:t>
        </w:r>
        <w:r>
          <w:fldChar w:fldCharType="end"/>
        </w:r>
      </w:p>
    </w:sdtContent>
  </w:sdt>
  <w:p w14:paraId="5AB9ED72" w14:textId="77777777" w:rsidR="006F11C2" w:rsidRDefault="006F11C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13272" w14:textId="489F7B12" w:rsidR="00384E7B" w:rsidRDefault="00384E7B" w:rsidP="00384E7B">
    <w:pPr>
      <w:pStyle w:val="a5"/>
      <w:jc w:val="right"/>
    </w:pPr>
    <w:r>
      <w:t xml:space="preserve">Проєкт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848104"/>
      <w:docPartObj>
        <w:docPartGallery w:val="Page Numbers (Top of Page)"/>
        <w:docPartUnique/>
      </w:docPartObj>
    </w:sdtPr>
    <w:sdtEndPr/>
    <w:sdtContent>
      <w:p w14:paraId="005CC93A" w14:textId="6F71EDFE" w:rsidR="006F11C2" w:rsidRDefault="006F11C2">
        <w:pPr>
          <w:pStyle w:val="a5"/>
          <w:jc w:val="center"/>
        </w:pPr>
        <w:r>
          <w:fldChar w:fldCharType="begin"/>
        </w:r>
        <w:r>
          <w:instrText>PAGE   \* MERGEFORMAT</w:instrText>
        </w:r>
        <w:r>
          <w:fldChar w:fldCharType="separate"/>
        </w:r>
        <w:r w:rsidR="00384E7B">
          <w:rPr>
            <w:noProof/>
          </w:rPr>
          <w:t>18</w:t>
        </w:r>
        <w:r>
          <w:fldChar w:fldCharType="end"/>
        </w:r>
      </w:p>
    </w:sdtContent>
  </w:sdt>
  <w:p w14:paraId="02A06FB2" w14:textId="77777777" w:rsidR="006F11C2" w:rsidRDefault="006F11C2">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B121E" w14:textId="6D8665D0" w:rsidR="006F11C2" w:rsidRDefault="006F11C2">
    <w:pPr>
      <w:pStyle w:val="a5"/>
      <w:jc w:val="center"/>
    </w:pPr>
  </w:p>
  <w:p w14:paraId="567DACDF" w14:textId="77777777" w:rsidR="006F11C2" w:rsidRPr="00B930E3" w:rsidRDefault="006F11C2" w:rsidP="00B930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3527"/>
    <w:multiLevelType w:val="hybridMultilevel"/>
    <w:tmpl w:val="132264D6"/>
    <w:lvl w:ilvl="0" w:tplc="3C107E42">
      <w:start w:val="5"/>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 w15:restartNumberingAfterBreak="0">
    <w:nsid w:val="11435F7E"/>
    <w:multiLevelType w:val="hybridMultilevel"/>
    <w:tmpl w:val="526091E4"/>
    <w:lvl w:ilvl="0" w:tplc="0A0A821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C2737C9"/>
    <w:multiLevelType w:val="hybridMultilevel"/>
    <w:tmpl w:val="2482D484"/>
    <w:lvl w:ilvl="0" w:tplc="BF281B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AD430E6"/>
    <w:multiLevelType w:val="hybridMultilevel"/>
    <w:tmpl w:val="74A664AC"/>
    <w:lvl w:ilvl="0" w:tplc="792ADA8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30A0A61"/>
    <w:multiLevelType w:val="hybridMultilevel"/>
    <w:tmpl w:val="7504BEB0"/>
    <w:lvl w:ilvl="0" w:tplc="17686E86">
      <w:start w:val="1"/>
      <w:numFmt w:val="decimal"/>
      <w:lvlText w:val="%1)"/>
      <w:lvlJc w:val="left"/>
      <w:pPr>
        <w:ind w:left="1211"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5B8C5068"/>
    <w:multiLevelType w:val="hybridMultilevel"/>
    <w:tmpl w:val="E34A15B6"/>
    <w:lvl w:ilvl="0" w:tplc="005C4C0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5CF15232"/>
    <w:multiLevelType w:val="hybridMultilevel"/>
    <w:tmpl w:val="63E23932"/>
    <w:lvl w:ilvl="0" w:tplc="C3E4860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72E34567"/>
    <w:multiLevelType w:val="hybridMultilevel"/>
    <w:tmpl w:val="5442CA8C"/>
    <w:lvl w:ilvl="0" w:tplc="18BC5D64">
      <w:start w:val="1"/>
      <w:numFmt w:val="decimal"/>
      <w:lvlText w:val="%1)"/>
      <w:lvlJc w:val="left"/>
      <w:pPr>
        <w:ind w:left="1211"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4"/>
  </w:num>
  <w:num w:numId="3">
    <w:abstractNumId w:val="2"/>
  </w:num>
  <w:num w:numId="4">
    <w:abstractNumId w:val="7"/>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E04"/>
    <w:rsid w:val="00000027"/>
    <w:rsid w:val="00004687"/>
    <w:rsid w:val="00005A6E"/>
    <w:rsid w:val="000064FA"/>
    <w:rsid w:val="00007A79"/>
    <w:rsid w:val="000102C1"/>
    <w:rsid w:val="00011184"/>
    <w:rsid w:val="00011FD2"/>
    <w:rsid w:val="0001399E"/>
    <w:rsid w:val="0001523B"/>
    <w:rsid w:val="00015FDE"/>
    <w:rsid w:val="00016403"/>
    <w:rsid w:val="00022292"/>
    <w:rsid w:val="000250FB"/>
    <w:rsid w:val="00026271"/>
    <w:rsid w:val="00026CCB"/>
    <w:rsid w:val="00033971"/>
    <w:rsid w:val="0003430F"/>
    <w:rsid w:val="00035A12"/>
    <w:rsid w:val="00036B7B"/>
    <w:rsid w:val="000378F7"/>
    <w:rsid w:val="0003793C"/>
    <w:rsid w:val="0004044E"/>
    <w:rsid w:val="000416E0"/>
    <w:rsid w:val="000458B2"/>
    <w:rsid w:val="00046557"/>
    <w:rsid w:val="000506D8"/>
    <w:rsid w:val="00051972"/>
    <w:rsid w:val="00051EB5"/>
    <w:rsid w:val="00057DF2"/>
    <w:rsid w:val="0006242A"/>
    <w:rsid w:val="00063480"/>
    <w:rsid w:val="00063D34"/>
    <w:rsid w:val="000713E8"/>
    <w:rsid w:val="00071451"/>
    <w:rsid w:val="00071DD0"/>
    <w:rsid w:val="00073EB4"/>
    <w:rsid w:val="000765D7"/>
    <w:rsid w:val="00085AD3"/>
    <w:rsid w:val="00086983"/>
    <w:rsid w:val="00090CE3"/>
    <w:rsid w:val="00090F54"/>
    <w:rsid w:val="00097B89"/>
    <w:rsid w:val="000A7771"/>
    <w:rsid w:val="000B2990"/>
    <w:rsid w:val="000B5ADB"/>
    <w:rsid w:val="000C3F58"/>
    <w:rsid w:val="000D44E2"/>
    <w:rsid w:val="000E1129"/>
    <w:rsid w:val="000E4B44"/>
    <w:rsid w:val="000E700F"/>
    <w:rsid w:val="001000B8"/>
    <w:rsid w:val="00100163"/>
    <w:rsid w:val="00101596"/>
    <w:rsid w:val="001019BE"/>
    <w:rsid w:val="001025EF"/>
    <w:rsid w:val="00102C1C"/>
    <w:rsid w:val="00104655"/>
    <w:rsid w:val="001068E6"/>
    <w:rsid w:val="001071C7"/>
    <w:rsid w:val="0011243C"/>
    <w:rsid w:val="00115C5E"/>
    <w:rsid w:val="0011653F"/>
    <w:rsid w:val="0012290B"/>
    <w:rsid w:val="00131F34"/>
    <w:rsid w:val="00163AF4"/>
    <w:rsid w:val="001642EE"/>
    <w:rsid w:val="001652CD"/>
    <w:rsid w:val="00172D3D"/>
    <w:rsid w:val="00173B99"/>
    <w:rsid w:val="001740C0"/>
    <w:rsid w:val="0017412C"/>
    <w:rsid w:val="001771B7"/>
    <w:rsid w:val="0018272A"/>
    <w:rsid w:val="00184800"/>
    <w:rsid w:val="00190E1A"/>
    <w:rsid w:val="00192423"/>
    <w:rsid w:val="001927B9"/>
    <w:rsid w:val="001A16FA"/>
    <w:rsid w:val="001A42D2"/>
    <w:rsid w:val="001B2FFB"/>
    <w:rsid w:val="001C4419"/>
    <w:rsid w:val="001D2E41"/>
    <w:rsid w:val="001D3A55"/>
    <w:rsid w:val="001D4753"/>
    <w:rsid w:val="001D487A"/>
    <w:rsid w:val="001D4C3A"/>
    <w:rsid w:val="001E1984"/>
    <w:rsid w:val="001E2732"/>
    <w:rsid w:val="001E5DB4"/>
    <w:rsid w:val="001E6FA0"/>
    <w:rsid w:val="001F177F"/>
    <w:rsid w:val="001F258E"/>
    <w:rsid w:val="001F4CD3"/>
    <w:rsid w:val="001F591C"/>
    <w:rsid w:val="001F64D4"/>
    <w:rsid w:val="001F71E8"/>
    <w:rsid w:val="00204F22"/>
    <w:rsid w:val="00205D6F"/>
    <w:rsid w:val="00207DA9"/>
    <w:rsid w:val="0021268A"/>
    <w:rsid w:val="002142DA"/>
    <w:rsid w:val="002147EF"/>
    <w:rsid w:val="002162DA"/>
    <w:rsid w:val="00227635"/>
    <w:rsid w:val="00227EB0"/>
    <w:rsid w:val="00233146"/>
    <w:rsid w:val="00234AA5"/>
    <w:rsid w:val="00235357"/>
    <w:rsid w:val="0023651D"/>
    <w:rsid w:val="00241373"/>
    <w:rsid w:val="00244669"/>
    <w:rsid w:val="002453A3"/>
    <w:rsid w:val="00252AEE"/>
    <w:rsid w:val="002537FC"/>
    <w:rsid w:val="00253BF9"/>
    <w:rsid w:val="00257FAC"/>
    <w:rsid w:val="00264983"/>
    <w:rsid w:val="00264A22"/>
    <w:rsid w:val="002672DD"/>
    <w:rsid w:val="00271829"/>
    <w:rsid w:val="00272B80"/>
    <w:rsid w:val="00272E67"/>
    <w:rsid w:val="00277B2F"/>
    <w:rsid w:val="002846E4"/>
    <w:rsid w:val="0028752E"/>
    <w:rsid w:val="00291A03"/>
    <w:rsid w:val="00296ED7"/>
    <w:rsid w:val="002974B5"/>
    <w:rsid w:val="002A172E"/>
    <w:rsid w:val="002A7DE0"/>
    <w:rsid w:val="002A7FB4"/>
    <w:rsid w:val="002B20C4"/>
    <w:rsid w:val="002B6FFE"/>
    <w:rsid w:val="002C677D"/>
    <w:rsid w:val="002C7575"/>
    <w:rsid w:val="002C7B4D"/>
    <w:rsid w:val="002D171B"/>
    <w:rsid w:val="002D1790"/>
    <w:rsid w:val="002D5205"/>
    <w:rsid w:val="002D52F9"/>
    <w:rsid w:val="002E023A"/>
    <w:rsid w:val="002E344C"/>
    <w:rsid w:val="002E5A58"/>
    <w:rsid w:val="002E5CA5"/>
    <w:rsid w:val="002F33F0"/>
    <w:rsid w:val="002F379F"/>
    <w:rsid w:val="002F57F4"/>
    <w:rsid w:val="002F660B"/>
    <w:rsid w:val="002F6CE3"/>
    <w:rsid w:val="00300D2E"/>
    <w:rsid w:val="003115BA"/>
    <w:rsid w:val="00311D83"/>
    <w:rsid w:val="0031386A"/>
    <w:rsid w:val="003160EB"/>
    <w:rsid w:val="0033133D"/>
    <w:rsid w:val="00332BC4"/>
    <w:rsid w:val="0034353E"/>
    <w:rsid w:val="00356E34"/>
    <w:rsid w:val="00357676"/>
    <w:rsid w:val="00364833"/>
    <w:rsid w:val="003658BD"/>
    <w:rsid w:val="003668EA"/>
    <w:rsid w:val="00371783"/>
    <w:rsid w:val="00373CAE"/>
    <w:rsid w:val="0038167B"/>
    <w:rsid w:val="0038385E"/>
    <w:rsid w:val="00384E7B"/>
    <w:rsid w:val="00393F96"/>
    <w:rsid w:val="003A01A2"/>
    <w:rsid w:val="003A0B87"/>
    <w:rsid w:val="003A383B"/>
    <w:rsid w:val="003B4F96"/>
    <w:rsid w:val="003C3282"/>
    <w:rsid w:val="003C385E"/>
    <w:rsid w:val="003C3985"/>
    <w:rsid w:val="003C421E"/>
    <w:rsid w:val="003C7337"/>
    <w:rsid w:val="003C7B72"/>
    <w:rsid w:val="003D19A3"/>
    <w:rsid w:val="003D4F01"/>
    <w:rsid w:val="003E4164"/>
    <w:rsid w:val="003F3865"/>
    <w:rsid w:val="003F3F9A"/>
    <w:rsid w:val="003F4317"/>
    <w:rsid w:val="003F78A8"/>
    <w:rsid w:val="00401EDB"/>
    <w:rsid w:val="00404210"/>
    <w:rsid w:val="00404C93"/>
    <w:rsid w:val="00407877"/>
    <w:rsid w:val="00410EC0"/>
    <w:rsid w:val="00410FA1"/>
    <w:rsid w:val="00411597"/>
    <w:rsid w:val="004244E4"/>
    <w:rsid w:val="0042702C"/>
    <w:rsid w:val="004318B3"/>
    <w:rsid w:val="004414F7"/>
    <w:rsid w:val="004541C5"/>
    <w:rsid w:val="00455B45"/>
    <w:rsid w:val="0046545E"/>
    <w:rsid w:val="00472E7B"/>
    <w:rsid w:val="00474473"/>
    <w:rsid w:val="0047615E"/>
    <w:rsid w:val="0048071E"/>
    <w:rsid w:val="00484152"/>
    <w:rsid w:val="00494BE0"/>
    <w:rsid w:val="004A7F75"/>
    <w:rsid w:val="004B4733"/>
    <w:rsid w:val="004B5F87"/>
    <w:rsid w:val="004B77C2"/>
    <w:rsid w:val="004C5F28"/>
    <w:rsid w:val="004C6E31"/>
    <w:rsid w:val="004D7E2E"/>
    <w:rsid w:val="004E0515"/>
    <w:rsid w:val="004E22E2"/>
    <w:rsid w:val="004E5CA0"/>
    <w:rsid w:val="004F5AE4"/>
    <w:rsid w:val="004F62FC"/>
    <w:rsid w:val="00500B4B"/>
    <w:rsid w:val="00511813"/>
    <w:rsid w:val="00513E1F"/>
    <w:rsid w:val="00523C13"/>
    <w:rsid w:val="005257C2"/>
    <w:rsid w:val="005330A3"/>
    <w:rsid w:val="00533325"/>
    <w:rsid w:val="00540210"/>
    <w:rsid w:val="00542313"/>
    <w:rsid w:val="00542440"/>
    <w:rsid w:val="00542533"/>
    <w:rsid w:val="005449F5"/>
    <w:rsid w:val="0054599E"/>
    <w:rsid w:val="00547AEF"/>
    <w:rsid w:val="005537EC"/>
    <w:rsid w:val="005551F8"/>
    <w:rsid w:val="00555EEE"/>
    <w:rsid w:val="005624B6"/>
    <w:rsid w:val="00563A19"/>
    <w:rsid w:val="00563AC1"/>
    <w:rsid w:val="00571F58"/>
    <w:rsid w:val="0057237F"/>
    <w:rsid w:val="0057309A"/>
    <w:rsid w:val="00577402"/>
    <w:rsid w:val="00581E91"/>
    <w:rsid w:val="00591298"/>
    <w:rsid w:val="005A0F4B"/>
    <w:rsid w:val="005A1D3C"/>
    <w:rsid w:val="005A2BBA"/>
    <w:rsid w:val="005A35F2"/>
    <w:rsid w:val="005A3F34"/>
    <w:rsid w:val="005A5C0B"/>
    <w:rsid w:val="005A6B99"/>
    <w:rsid w:val="005A71F0"/>
    <w:rsid w:val="005B28EE"/>
    <w:rsid w:val="005B2D03"/>
    <w:rsid w:val="005B5ADE"/>
    <w:rsid w:val="005B69E2"/>
    <w:rsid w:val="005C5CBF"/>
    <w:rsid w:val="005C6CDE"/>
    <w:rsid w:val="005D2F3D"/>
    <w:rsid w:val="005D4B6D"/>
    <w:rsid w:val="005E43E6"/>
    <w:rsid w:val="005F6418"/>
    <w:rsid w:val="00610F11"/>
    <w:rsid w:val="00611739"/>
    <w:rsid w:val="0061495C"/>
    <w:rsid w:val="0061599B"/>
    <w:rsid w:val="006168B0"/>
    <w:rsid w:val="00627615"/>
    <w:rsid w:val="006300B1"/>
    <w:rsid w:val="0063071E"/>
    <w:rsid w:val="00630E07"/>
    <w:rsid w:val="0063271C"/>
    <w:rsid w:val="00634A4F"/>
    <w:rsid w:val="00640612"/>
    <w:rsid w:val="00640826"/>
    <w:rsid w:val="00642F3F"/>
    <w:rsid w:val="00653558"/>
    <w:rsid w:val="00655864"/>
    <w:rsid w:val="00663E7E"/>
    <w:rsid w:val="00670C95"/>
    <w:rsid w:val="00672B4B"/>
    <w:rsid w:val="006812E1"/>
    <w:rsid w:val="00681460"/>
    <w:rsid w:val="00684225"/>
    <w:rsid w:val="00684884"/>
    <w:rsid w:val="006871CD"/>
    <w:rsid w:val="006A0AE1"/>
    <w:rsid w:val="006A2334"/>
    <w:rsid w:val="006A33CE"/>
    <w:rsid w:val="006A351B"/>
    <w:rsid w:val="006A6CEB"/>
    <w:rsid w:val="006A71B4"/>
    <w:rsid w:val="006B2748"/>
    <w:rsid w:val="006B7810"/>
    <w:rsid w:val="006C05BB"/>
    <w:rsid w:val="006C4176"/>
    <w:rsid w:val="006C66EF"/>
    <w:rsid w:val="006D2617"/>
    <w:rsid w:val="006D45E3"/>
    <w:rsid w:val="006D58A6"/>
    <w:rsid w:val="006D7697"/>
    <w:rsid w:val="006E2386"/>
    <w:rsid w:val="006E2EC0"/>
    <w:rsid w:val="006E76DA"/>
    <w:rsid w:val="006F11C2"/>
    <w:rsid w:val="006F3CFB"/>
    <w:rsid w:val="0070152E"/>
    <w:rsid w:val="00702880"/>
    <w:rsid w:val="00702896"/>
    <w:rsid w:val="00702E16"/>
    <w:rsid w:val="00710980"/>
    <w:rsid w:val="007134C5"/>
    <w:rsid w:val="00714A44"/>
    <w:rsid w:val="0071789F"/>
    <w:rsid w:val="007257BF"/>
    <w:rsid w:val="0073686D"/>
    <w:rsid w:val="00747479"/>
    <w:rsid w:val="007476B2"/>
    <w:rsid w:val="007500B5"/>
    <w:rsid w:val="00750470"/>
    <w:rsid w:val="00750E35"/>
    <w:rsid w:val="00752127"/>
    <w:rsid w:val="00761C29"/>
    <w:rsid w:val="0076411C"/>
    <w:rsid w:val="007649A2"/>
    <w:rsid w:val="00771EDD"/>
    <w:rsid w:val="00777528"/>
    <w:rsid w:val="007802D9"/>
    <w:rsid w:val="007813C2"/>
    <w:rsid w:val="0078220B"/>
    <w:rsid w:val="00783AF2"/>
    <w:rsid w:val="00785ADE"/>
    <w:rsid w:val="0079324A"/>
    <w:rsid w:val="007965F5"/>
    <w:rsid w:val="007A038B"/>
    <w:rsid w:val="007A0756"/>
    <w:rsid w:val="007A6609"/>
    <w:rsid w:val="007A6B70"/>
    <w:rsid w:val="007B2723"/>
    <w:rsid w:val="007C7201"/>
    <w:rsid w:val="007C7929"/>
    <w:rsid w:val="007D7DB6"/>
    <w:rsid w:val="007E26FC"/>
    <w:rsid w:val="007E293D"/>
    <w:rsid w:val="007E299A"/>
    <w:rsid w:val="007E2E2F"/>
    <w:rsid w:val="007F2255"/>
    <w:rsid w:val="007F24D1"/>
    <w:rsid w:val="007F26C3"/>
    <w:rsid w:val="007F514C"/>
    <w:rsid w:val="008000F4"/>
    <w:rsid w:val="00800A3D"/>
    <w:rsid w:val="00802988"/>
    <w:rsid w:val="00804756"/>
    <w:rsid w:val="00810228"/>
    <w:rsid w:val="00810E98"/>
    <w:rsid w:val="008135AE"/>
    <w:rsid w:val="00815CB9"/>
    <w:rsid w:val="008174BA"/>
    <w:rsid w:val="00821E46"/>
    <w:rsid w:val="0082219C"/>
    <w:rsid w:val="00824826"/>
    <w:rsid w:val="00825FBB"/>
    <w:rsid w:val="00830372"/>
    <w:rsid w:val="00833AB8"/>
    <w:rsid w:val="00834346"/>
    <w:rsid w:val="008438CB"/>
    <w:rsid w:val="00850F68"/>
    <w:rsid w:val="00851675"/>
    <w:rsid w:val="0085467D"/>
    <w:rsid w:val="008555CA"/>
    <w:rsid w:val="00865252"/>
    <w:rsid w:val="00866993"/>
    <w:rsid w:val="00874366"/>
    <w:rsid w:val="0088204E"/>
    <w:rsid w:val="00882BA4"/>
    <w:rsid w:val="00890ACC"/>
    <w:rsid w:val="008A29F3"/>
    <w:rsid w:val="008A58E9"/>
    <w:rsid w:val="008A6BA6"/>
    <w:rsid w:val="008A704D"/>
    <w:rsid w:val="008B014D"/>
    <w:rsid w:val="008B164A"/>
    <w:rsid w:val="008B4DF8"/>
    <w:rsid w:val="008B51E0"/>
    <w:rsid w:val="008B5586"/>
    <w:rsid w:val="008C0CF6"/>
    <w:rsid w:val="008C13B3"/>
    <w:rsid w:val="008C2498"/>
    <w:rsid w:val="008D10FD"/>
    <w:rsid w:val="008D122F"/>
    <w:rsid w:val="008F0421"/>
    <w:rsid w:val="008F0693"/>
    <w:rsid w:val="0090186E"/>
    <w:rsid w:val="00904F17"/>
    <w:rsid w:val="00907F47"/>
    <w:rsid w:val="00915AE8"/>
    <w:rsid w:val="00937F8E"/>
    <w:rsid w:val="00940207"/>
    <w:rsid w:val="00943A2C"/>
    <w:rsid w:val="00944339"/>
    <w:rsid w:val="00961672"/>
    <w:rsid w:val="00962B39"/>
    <w:rsid w:val="009648B0"/>
    <w:rsid w:val="0097288F"/>
    <w:rsid w:val="00976698"/>
    <w:rsid w:val="00977756"/>
    <w:rsid w:val="00984B02"/>
    <w:rsid w:val="009875EF"/>
    <w:rsid w:val="00991E8C"/>
    <w:rsid w:val="009943E9"/>
    <w:rsid w:val="00994CD4"/>
    <w:rsid w:val="00995443"/>
    <w:rsid w:val="00995A8D"/>
    <w:rsid w:val="009964B9"/>
    <w:rsid w:val="009A363E"/>
    <w:rsid w:val="009A4DE6"/>
    <w:rsid w:val="009A5617"/>
    <w:rsid w:val="009C66F8"/>
    <w:rsid w:val="009C717F"/>
    <w:rsid w:val="009D6D44"/>
    <w:rsid w:val="009D7E51"/>
    <w:rsid w:val="009E165B"/>
    <w:rsid w:val="009F110D"/>
    <w:rsid w:val="009F5312"/>
    <w:rsid w:val="00A03125"/>
    <w:rsid w:val="00A05AB1"/>
    <w:rsid w:val="00A05C3A"/>
    <w:rsid w:val="00A06ADB"/>
    <w:rsid w:val="00A104FB"/>
    <w:rsid w:val="00A23E04"/>
    <w:rsid w:val="00A3474F"/>
    <w:rsid w:val="00A34925"/>
    <w:rsid w:val="00A45018"/>
    <w:rsid w:val="00A47EF0"/>
    <w:rsid w:val="00A50DC0"/>
    <w:rsid w:val="00A51C39"/>
    <w:rsid w:val="00A6628D"/>
    <w:rsid w:val="00A708BE"/>
    <w:rsid w:val="00A70B1B"/>
    <w:rsid w:val="00A72446"/>
    <w:rsid w:val="00A72F06"/>
    <w:rsid w:val="00A77FFD"/>
    <w:rsid w:val="00A829B5"/>
    <w:rsid w:val="00A860DB"/>
    <w:rsid w:val="00A96FFB"/>
    <w:rsid w:val="00AA08FB"/>
    <w:rsid w:val="00AA5477"/>
    <w:rsid w:val="00AA726B"/>
    <w:rsid w:val="00AB1C0F"/>
    <w:rsid w:val="00AB28F1"/>
    <w:rsid w:val="00AB775A"/>
    <w:rsid w:val="00AC47B6"/>
    <w:rsid w:val="00AD4598"/>
    <w:rsid w:val="00AE16F0"/>
    <w:rsid w:val="00AE6868"/>
    <w:rsid w:val="00AF2F2B"/>
    <w:rsid w:val="00AF59AC"/>
    <w:rsid w:val="00B000A2"/>
    <w:rsid w:val="00B05A7C"/>
    <w:rsid w:val="00B12256"/>
    <w:rsid w:val="00B12A6F"/>
    <w:rsid w:val="00B14E04"/>
    <w:rsid w:val="00B2042E"/>
    <w:rsid w:val="00B22804"/>
    <w:rsid w:val="00B24257"/>
    <w:rsid w:val="00B24F71"/>
    <w:rsid w:val="00B31892"/>
    <w:rsid w:val="00B31E8D"/>
    <w:rsid w:val="00B332B2"/>
    <w:rsid w:val="00B355AA"/>
    <w:rsid w:val="00B35F02"/>
    <w:rsid w:val="00B37DB5"/>
    <w:rsid w:val="00B434B0"/>
    <w:rsid w:val="00B552A8"/>
    <w:rsid w:val="00B5752E"/>
    <w:rsid w:val="00B616A5"/>
    <w:rsid w:val="00B63B31"/>
    <w:rsid w:val="00B66974"/>
    <w:rsid w:val="00B67B26"/>
    <w:rsid w:val="00B759CB"/>
    <w:rsid w:val="00B76200"/>
    <w:rsid w:val="00B77308"/>
    <w:rsid w:val="00B77FBC"/>
    <w:rsid w:val="00B85728"/>
    <w:rsid w:val="00B85DFD"/>
    <w:rsid w:val="00B92FC4"/>
    <w:rsid w:val="00B930E3"/>
    <w:rsid w:val="00B9672B"/>
    <w:rsid w:val="00B96CA9"/>
    <w:rsid w:val="00B97EC5"/>
    <w:rsid w:val="00BA1D07"/>
    <w:rsid w:val="00BA332C"/>
    <w:rsid w:val="00BA621C"/>
    <w:rsid w:val="00BA75D9"/>
    <w:rsid w:val="00BA7C6D"/>
    <w:rsid w:val="00BB0F4F"/>
    <w:rsid w:val="00BB44AB"/>
    <w:rsid w:val="00BB4A72"/>
    <w:rsid w:val="00BC1A0C"/>
    <w:rsid w:val="00BC275B"/>
    <w:rsid w:val="00BC35AA"/>
    <w:rsid w:val="00BC6419"/>
    <w:rsid w:val="00BC6E1D"/>
    <w:rsid w:val="00BD7202"/>
    <w:rsid w:val="00BE0755"/>
    <w:rsid w:val="00BE1091"/>
    <w:rsid w:val="00BE6C11"/>
    <w:rsid w:val="00BF052C"/>
    <w:rsid w:val="00C21D33"/>
    <w:rsid w:val="00C22D27"/>
    <w:rsid w:val="00C254D0"/>
    <w:rsid w:val="00C261F6"/>
    <w:rsid w:val="00C36ED6"/>
    <w:rsid w:val="00C40C3D"/>
    <w:rsid w:val="00C41293"/>
    <w:rsid w:val="00C422E3"/>
    <w:rsid w:val="00C4377C"/>
    <w:rsid w:val="00C437A7"/>
    <w:rsid w:val="00C52420"/>
    <w:rsid w:val="00C65DEC"/>
    <w:rsid w:val="00C75770"/>
    <w:rsid w:val="00C763A3"/>
    <w:rsid w:val="00C770BA"/>
    <w:rsid w:val="00C800B3"/>
    <w:rsid w:val="00C80F5E"/>
    <w:rsid w:val="00C82259"/>
    <w:rsid w:val="00C831BC"/>
    <w:rsid w:val="00C8418C"/>
    <w:rsid w:val="00C86918"/>
    <w:rsid w:val="00C92BDD"/>
    <w:rsid w:val="00C93AB1"/>
    <w:rsid w:val="00CA6FA0"/>
    <w:rsid w:val="00CA6FA6"/>
    <w:rsid w:val="00CB13FD"/>
    <w:rsid w:val="00CB3D7B"/>
    <w:rsid w:val="00CB5895"/>
    <w:rsid w:val="00CC4B2A"/>
    <w:rsid w:val="00CD3EFA"/>
    <w:rsid w:val="00CD7381"/>
    <w:rsid w:val="00CE3B9F"/>
    <w:rsid w:val="00CE5007"/>
    <w:rsid w:val="00CF1DF1"/>
    <w:rsid w:val="00CF7A86"/>
    <w:rsid w:val="00D0057B"/>
    <w:rsid w:val="00D076B7"/>
    <w:rsid w:val="00D11F25"/>
    <w:rsid w:val="00D13015"/>
    <w:rsid w:val="00D15C52"/>
    <w:rsid w:val="00D15DB2"/>
    <w:rsid w:val="00D20D13"/>
    <w:rsid w:val="00D23BE3"/>
    <w:rsid w:val="00D263D2"/>
    <w:rsid w:val="00D27113"/>
    <w:rsid w:val="00D3310A"/>
    <w:rsid w:val="00D33A3D"/>
    <w:rsid w:val="00D34DCC"/>
    <w:rsid w:val="00D372F1"/>
    <w:rsid w:val="00D44FDC"/>
    <w:rsid w:val="00D46751"/>
    <w:rsid w:val="00D51D32"/>
    <w:rsid w:val="00D74DCE"/>
    <w:rsid w:val="00D842D0"/>
    <w:rsid w:val="00D9098E"/>
    <w:rsid w:val="00D93A3C"/>
    <w:rsid w:val="00DA11BC"/>
    <w:rsid w:val="00DA1772"/>
    <w:rsid w:val="00DA38E7"/>
    <w:rsid w:val="00DA54DE"/>
    <w:rsid w:val="00DA66E4"/>
    <w:rsid w:val="00DB227A"/>
    <w:rsid w:val="00DB5362"/>
    <w:rsid w:val="00DB53B5"/>
    <w:rsid w:val="00DC1E60"/>
    <w:rsid w:val="00DC4850"/>
    <w:rsid w:val="00DD106B"/>
    <w:rsid w:val="00DD60CC"/>
    <w:rsid w:val="00DD6161"/>
    <w:rsid w:val="00DD71CB"/>
    <w:rsid w:val="00DE2DEA"/>
    <w:rsid w:val="00DE30CB"/>
    <w:rsid w:val="00DE5CFA"/>
    <w:rsid w:val="00DE69F7"/>
    <w:rsid w:val="00DF665A"/>
    <w:rsid w:val="00E04474"/>
    <w:rsid w:val="00E154AE"/>
    <w:rsid w:val="00E171F8"/>
    <w:rsid w:val="00E33B0E"/>
    <w:rsid w:val="00E34A3F"/>
    <w:rsid w:val="00E43E79"/>
    <w:rsid w:val="00E44F28"/>
    <w:rsid w:val="00E46EB5"/>
    <w:rsid w:val="00E53CB5"/>
    <w:rsid w:val="00E53CCD"/>
    <w:rsid w:val="00E55BF9"/>
    <w:rsid w:val="00E64B29"/>
    <w:rsid w:val="00E67F6F"/>
    <w:rsid w:val="00E701B5"/>
    <w:rsid w:val="00E716BE"/>
    <w:rsid w:val="00E74991"/>
    <w:rsid w:val="00E86618"/>
    <w:rsid w:val="00E8777E"/>
    <w:rsid w:val="00E94065"/>
    <w:rsid w:val="00E97A59"/>
    <w:rsid w:val="00EA0E4C"/>
    <w:rsid w:val="00EA1DE4"/>
    <w:rsid w:val="00EA3A24"/>
    <w:rsid w:val="00EA4B16"/>
    <w:rsid w:val="00EC0E6D"/>
    <w:rsid w:val="00ED042F"/>
    <w:rsid w:val="00ED1C38"/>
    <w:rsid w:val="00ED5EF3"/>
    <w:rsid w:val="00ED7D24"/>
    <w:rsid w:val="00EE1937"/>
    <w:rsid w:val="00EE3E8A"/>
    <w:rsid w:val="00EE5CE2"/>
    <w:rsid w:val="00EF0998"/>
    <w:rsid w:val="00EF580A"/>
    <w:rsid w:val="00EF61BB"/>
    <w:rsid w:val="00F003D3"/>
    <w:rsid w:val="00F0254C"/>
    <w:rsid w:val="00F03226"/>
    <w:rsid w:val="00F03E32"/>
    <w:rsid w:val="00F062D8"/>
    <w:rsid w:val="00F06517"/>
    <w:rsid w:val="00F15C2D"/>
    <w:rsid w:val="00F25602"/>
    <w:rsid w:val="00F278BA"/>
    <w:rsid w:val="00F27C4D"/>
    <w:rsid w:val="00F31023"/>
    <w:rsid w:val="00F332C0"/>
    <w:rsid w:val="00F376FE"/>
    <w:rsid w:val="00F37DAF"/>
    <w:rsid w:val="00F40FE7"/>
    <w:rsid w:val="00F42E75"/>
    <w:rsid w:val="00F52D16"/>
    <w:rsid w:val="00F61E30"/>
    <w:rsid w:val="00F63BD9"/>
    <w:rsid w:val="00F6694C"/>
    <w:rsid w:val="00F7152B"/>
    <w:rsid w:val="00F74EDA"/>
    <w:rsid w:val="00F90F49"/>
    <w:rsid w:val="00F9222B"/>
    <w:rsid w:val="00F936EF"/>
    <w:rsid w:val="00F9590B"/>
    <w:rsid w:val="00F96F18"/>
    <w:rsid w:val="00FA0541"/>
    <w:rsid w:val="00FA7B67"/>
    <w:rsid w:val="00FB78D9"/>
    <w:rsid w:val="00FC6F50"/>
    <w:rsid w:val="00FD179B"/>
    <w:rsid w:val="00FE647B"/>
    <w:rsid w:val="00FE65A3"/>
    <w:rsid w:val="00FF008A"/>
    <w:rsid w:val="00FF6C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1F160E9"/>
  <w15:docId w15:val="{D966EF65-5F20-450A-A896-8AAB84CF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4">
    <w:name w:val="Hyperlink"/>
    <w:basedOn w:val="a0"/>
    <w:uiPriority w:val="99"/>
    <w:unhideWhenUsed/>
    <w:rsid w:val="001D3A55"/>
    <w:rPr>
      <w:color w:val="0000FF" w:themeColor="hyperlink"/>
      <w:u w:val="single"/>
    </w:rPr>
  </w:style>
  <w:style w:type="character" w:styleId="af5">
    <w:name w:val="annotation reference"/>
    <w:basedOn w:val="a0"/>
    <w:uiPriority w:val="99"/>
    <w:semiHidden/>
    <w:unhideWhenUsed/>
    <w:rsid w:val="00571F58"/>
    <w:rPr>
      <w:sz w:val="16"/>
      <w:szCs w:val="16"/>
    </w:rPr>
  </w:style>
  <w:style w:type="paragraph" w:styleId="af6">
    <w:name w:val="annotation text"/>
    <w:basedOn w:val="a"/>
    <w:link w:val="af7"/>
    <w:uiPriority w:val="99"/>
    <w:semiHidden/>
    <w:unhideWhenUsed/>
    <w:rsid w:val="00571F58"/>
    <w:rPr>
      <w:sz w:val="20"/>
      <w:szCs w:val="20"/>
    </w:rPr>
  </w:style>
  <w:style w:type="character" w:customStyle="1" w:styleId="af7">
    <w:name w:val="Текст примітки Знак"/>
    <w:basedOn w:val="a0"/>
    <w:link w:val="af6"/>
    <w:uiPriority w:val="99"/>
    <w:semiHidden/>
    <w:rsid w:val="00571F58"/>
    <w:rPr>
      <w:rFonts w:ascii="Times New Roman" w:hAnsi="Times New Roman" w:cs="Times New Roman"/>
      <w:sz w:val="20"/>
      <w:szCs w:val="20"/>
      <w:lang w:eastAsia="uk-UA"/>
    </w:rPr>
  </w:style>
  <w:style w:type="paragraph" w:styleId="af8">
    <w:name w:val="annotation subject"/>
    <w:basedOn w:val="af6"/>
    <w:next w:val="af6"/>
    <w:link w:val="af9"/>
    <w:uiPriority w:val="99"/>
    <w:semiHidden/>
    <w:unhideWhenUsed/>
    <w:rsid w:val="00571F58"/>
    <w:rPr>
      <w:b/>
      <w:bCs/>
    </w:rPr>
  </w:style>
  <w:style w:type="character" w:customStyle="1" w:styleId="af9">
    <w:name w:val="Тема примітки Знак"/>
    <w:basedOn w:val="af7"/>
    <w:link w:val="af8"/>
    <w:uiPriority w:val="99"/>
    <w:semiHidden/>
    <w:rsid w:val="00571F58"/>
    <w:rPr>
      <w:rFonts w:ascii="Times New Roman" w:hAnsi="Times New Roman" w:cs="Times New Roman"/>
      <w:b/>
      <w:bCs/>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bu\tech\TEMPLATES\OFFICE\05_&#1055;&#1086;&#1089;&#1090;&#1072;&#1085;&#1086;&#1074;&#1072;%20&#1055;&#1088;&#1072;&#1074;&#1083;&#1110;&#1085;&#1085;&#1103;%20&#1053;&#1041;&#105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9EC275-FE20-46E4-9D38-1303E87B9C8D}">
  <ds:schemaRef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9BF23D6-35ED-4A96-9E06-7839AD703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5.xml><?xml version="1.0" encoding="utf-8"?>
<ds:datastoreItem xmlns:ds="http://schemas.openxmlformats.org/officeDocument/2006/customXml" ds:itemID="{60D20F61-2ABA-4124-9CFB-C598F818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05_Постанова Правління НБУ</Template>
  <TotalTime>0</TotalTime>
  <Pages>26</Pages>
  <Words>6929</Words>
  <Characters>46181</Characters>
  <Application>Microsoft Office Word</Application>
  <DocSecurity>0</DocSecurity>
  <Lines>384</Lines>
  <Paragraphs>106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53004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Котлярова Ірина Федорівна</dc:creator>
  <cp:keywords/>
  <dc:description/>
  <cp:lastModifiedBy>Котлярова Ірина Федорівна</cp:lastModifiedBy>
  <cp:revision>2</cp:revision>
  <cp:lastPrinted>2023-07-04T07:51:00Z</cp:lastPrinted>
  <dcterms:created xsi:type="dcterms:W3CDTF">2025-01-09T15:32:00Z</dcterms:created>
  <dcterms:modified xsi:type="dcterms:W3CDTF">2025-01-09T15:32:00Z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