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7A518" w14:textId="77777777" w:rsidR="00B71514" w:rsidRDefault="00B71514" w:rsidP="003B190D">
      <w:pPr>
        <w:jc w:val="center"/>
        <w:rPr>
          <w:b/>
          <w:sz w:val="28"/>
          <w:szCs w:val="28"/>
        </w:rPr>
      </w:pPr>
    </w:p>
    <w:p w14:paraId="47E54FDA" w14:textId="77777777" w:rsidR="003B190D" w:rsidRPr="00E13195" w:rsidRDefault="003B190D" w:rsidP="003B190D">
      <w:pPr>
        <w:jc w:val="center"/>
        <w:rPr>
          <w:b/>
          <w:sz w:val="28"/>
          <w:szCs w:val="28"/>
        </w:rPr>
      </w:pPr>
      <w:r w:rsidRPr="00E13195">
        <w:rPr>
          <w:b/>
          <w:sz w:val="28"/>
          <w:szCs w:val="28"/>
        </w:rPr>
        <w:t xml:space="preserve">Порівняльна таблиця </w:t>
      </w:r>
    </w:p>
    <w:p w14:paraId="433538A2" w14:textId="77777777" w:rsidR="0031318E" w:rsidRDefault="003B190D" w:rsidP="00E13195">
      <w:pPr>
        <w:jc w:val="center"/>
        <w:rPr>
          <w:b/>
          <w:sz w:val="28"/>
          <w:szCs w:val="28"/>
        </w:rPr>
      </w:pPr>
      <w:r w:rsidRPr="00E13195">
        <w:rPr>
          <w:b/>
          <w:sz w:val="28"/>
          <w:szCs w:val="28"/>
        </w:rPr>
        <w:t xml:space="preserve">до </w:t>
      </w:r>
      <w:proofErr w:type="spellStart"/>
      <w:r w:rsidRPr="00E13195">
        <w:rPr>
          <w:b/>
          <w:sz w:val="28"/>
          <w:szCs w:val="28"/>
        </w:rPr>
        <w:t>про</w:t>
      </w:r>
      <w:r w:rsidR="00FC6DCC" w:rsidRPr="00E13195">
        <w:rPr>
          <w:b/>
          <w:sz w:val="28"/>
          <w:szCs w:val="28"/>
        </w:rPr>
        <w:t>є</w:t>
      </w:r>
      <w:r w:rsidRPr="00E13195">
        <w:rPr>
          <w:b/>
          <w:sz w:val="28"/>
          <w:szCs w:val="28"/>
        </w:rPr>
        <w:t>кту</w:t>
      </w:r>
      <w:proofErr w:type="spellEnd"/>
      <w:r w:rsidRPr="00E13195">
        <w:rPr>
          <w:b/>
          <w:sz w:val="28"/>
          <w:szCs w:val="28"/>
        </w:rPr>
        <w:t xml:space="preserve"> постанови Правління Національного банку </w:t>
      </w:r>
      <w:r w:rsidRPr="0008679C">
        <w:rPr>
          <w:b/>
          <w:sz w:val="28"/>
          <w:szCs w:val="28"/>
        </w:rPr>
        <w:t>України “</w:t>
      </w:r>
      <w:r w:rsidR="0008679C" w:rsidRPr="0008679C">
        <w:rPr>
          <w:rFonts w:eastAsiaTheme="minorEastAsia"/>
          <w:b/>
          <w:color w:val="000000" w:themeColor="text1"/>
          <w:sz w:val="28"/>
          <w:szCs w:val="28"/>
          <w:lang w:eastAsia="en-US"/>
        </w:rPr>
        <w:t xml:space="preserve">Про </w:t>
      </w:r>
      <w:r w:rsidR="00F259D2">
        <w:rPr>
          <w:rFonts w:eastAsiaTheme="minorEastAsia"/>
          <w:b/>
          <w:sz w:val="28"/>
          <w:szCs w:val="28"/>
          <w:lang w:eastAsia="en-US"/>
        </w:rPr>
        <w:t>затвердження</w:t>
      </w:r>
      <w:r w:rsidR="0008679C" w:rsidRPr="00C06116">
        <w:rPr>
          <w:rFonts w:eastAsiaTheme="minorEastAsia"/>
          <w:b/>
          <w:sz w:val="28"/>
          <w:szCs w:val="28"/>
          <w:lang w:eastAsia="en-US"/>
        </w:rPr>
        <w:t xml:space="preserve"> </w:t>
      </w:r>
      <w:r w:rsidR="00F259D2">
        <w:rPr>
          <w:rFonts w:eastAsiaTheme="minorEastAsia"/>
          <w:b/>
          <w:sz w:val="28"/>
          <w:szCs w:val="28"/>
          <w:lang w:eastAsia="en-US"/>
        </w:rPr>
        <w:t>З</w:t>
      </w:r>
      <w:r w:rsidR="0008679C" w:rsidRPr="00C06116">
        <w:rPr>
          <w:rFonts w:eastAsiaTheme="minorEastAsia"/>
          <w:b/>
          <w:sz w:val="28"/>
          <w:szCs w:val="28"/>
          <w:lang w:eastAsia="en-US"/>
        </w:rPr>
        <w:t xml:space="preserve">мін до </w:t>
      </w:r>
      <w:r w:rsidR="00C06116" w:rsidRPr="00C06116">
        <w:rPr>
          <w:b/>
          <w:sz w:val="28"/>
          <w:szCs w:val="28"/>
        </w:rPr>
        <w:t>Інструкції про порядок відкриття та закриття рахунків користувачам надавачами платіжних послуг з обслуговування рахунків</w:t>
      </w:r>
      <w:r w:rsidRPr="00C06116">
        <w:rPr>
          <w:b/>
          <w:sz w:val="28"/>
          <w:szCs w:val="28"/>
        </w:rPr>
        <w:t>”</w:t>
      </w:r>
      <w:r w:rsidR="0031318E" w:rsidRPr="00C06116">
        <w:rPr>
          <w:b/>
          <w:sz w:val="28"/>
          <w:szCs w:val="28"/>
        </w:rPr>
        <w:t xml:space="preserve"> </w:t>
      </w:r>
    </w:p>
    <w:p w14:paraId="6BCA81E8" w14:textId="77777777" w:rsidR="00B71514" w:rsidRPr="00C06116" w:rsidRDefault="00B71514" w:rsidP="00E13195">
      <w:pPr>
        <w:jc w:val="center"/>
        <w:rPr>
          <w:b/>
          <w:sz w:val="28"/>
          <w:szCs w:val="28"/>
        </w:rPr>
      </w:pPr>
    </w:p>
    <w:p w14:paraId="52E68011" w14:textId="77777777" w:rsidR="00032D2A" w:rsidRPr="00C06116" w:rsidRDefault="00032D2A" w:rsidP="00E13195">
      <w:pPr>
        <w:jc w:val="center"/>
        <w:rPr>
          <w:b/>
          <w:sz w:val="20"/>
          <w:szCs w:val="20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654"/>
      </w:tblGrid>
      <w:tr w:rsidR="003B190D" w:rsidRPr="00E13195" w14:paraId="1E2C22A4" w14:textId="77777777" w:rsidTr="00F57C33">
        <w:tc>
          <w:tcPr>
            <w:tcW w:w="7542" w:type="dxa"/>
            <w:shd w:val="clear" w:color="auto" w:fill="auto"/>
          </w:tcPr>
          <w:p w14:paraId="6FCBDD78" w14:textId="77777777" w:rsidR="003B190D" w:rsidRPr="00E13195" w:rsidRDefault="003B190D" w:rsidP="00464C05">
            <w:pPr>
              <w:jc w:val="center"/>
            </w:pPr>
            <w:r w:rsidRPr="00E13195">
              <w:t>Зміст положення (норм</w:t>
            </w:r>
            <w:r w:rsidR="00207625" w:rsidRPr="00E13195">
              <w:t>и</w:t>
            </w:r>
            <w:r w:rsidRPr="00E13195">
              <w:t xml:space="preserve">) чинного нормативно-правового </w:t>
            </w:r>
            <w:proofErr w:type="spellStart"/>
            <w:r w:rsidRPr="00E13195">
              <w:t>акта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7AFC47DD" w14:textId="77777777" w:rsidR="00DB4A38" w:rsidRPr="00E13195" w:rsidRDefault="00DB4A38" w:rsidP="00DB4A38">
            <w:pPr>
              <w:jc w:val="center"/>
            </w:pPr>
            <w:r w:rsidRPr="00E13195">
              <w:t xml:space="preserve">Зміст відповідного положення (норми) </w:t>
            </w:r>
            <w:proofErr w:type="spellStart"/>
            <w:r w:rsidRPr="00E13195">
              <w:t>проєкту</w:t>
            </w:r>
            <w:proofErr w:type="spellEnd"/>
          </w:p>
          <w:p w14:paraId="3B5DF27B" w14:textId="77777777" w:rsidR="003B190D" w:rsidRPr="00E13195" w:rsidRDefault="00DB4A38" w:rsidP="00DB4A38">
            <w:pPr>
              <w:jc w:val="center"/>
            </w:pPr>
            <w:r w:rsidRPr="00E13195">
              <w:t xml:space="preserve">нормативно-правового </w:t>
            </w:r>
            <w:proofErr w:type="spellStart"/>
            <w:r w:rsidRPr="00E13195">
              <w:t>акта</w:t>
            </w:r>
            <w:proofErr w:type="spellEnd"/>
            <w:r w:rsidRPr="00E13195">
              <w:t xml:space="preserve"> </w:t>
            </w:r>
          </w:p>
        </w:tc>
      </w:tr>
      <w:tr w:rsidR="00136F0E" w:rsidRPr="00E13195" w14:paraId="25C27D3C" w14:textId="77777777" w:rsidTr="00743420">
        <w:trPr>
          <w:trHeight w:val="293"/>
        </w:trPr>
        <w:tc>
          <w:tcPr>
            <w:tcW w:w="7542" w:type="dxa"/>
            <w:shd w:val="clear" w:color="auto" w:fill="auto"/>
          </w:tcPr>
          <w:p w14:paraId="1E39ABC5" w14:textId="77777777" w:rsidR="00136F0E" w:rsidRPr="00E13195" w:rsidRDefault="00136F0E" w:rsidP="00464C05">
            <w:pPr>
              <w:jc w:val="center"/>
              <w:rPr>
                <w:b/>
              </w:rPr>
            </w:pPr>
            <w:r w:rsidRPr="00E13195">
              <w:rPr>
                <w:b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257F7544" w14:textId="77777777" w:rsidR="00136F0E" w:rsidRPr="00E13195" w:rsidRDefault="00136F0E" w:rsidP="00207625">
            <w:pPr>
              <w:jc w:val="center"/>
              <w:rPr>
                <w:b/>
              </w:rPr>
            </w:pPr>
            <w:r w:rsidRPr="00E13195">
              <w:rPr>
                <w:b/>
              </w:rPr>
              <w:t>2</w:t>
            </w:r>
          </w:p>
        </w:tc>
      </w:tr>
      <w:tr w:rsidR="0090249C" w:rsidRPr="00E13195" w14:paraId="29C5BAE5" w14:textId="77777777" w:rsidTr="00EF29E7">
        <w:trPr>
          <w:trHeight w:val="589"/>
        </w:trPr>
        <w:tc>
          <w:tcPr>
            <w:tcW w:w="15196" w:type="dxa"/>
            <w:gridSpan w:val="2"/>
            <w:shd w:val="clear" w:color="auto" w:fill="auto"/>
          </w:tcPr>
          <w:p w14:paraId="314B1DDF" w14:textId="77777777" w:rsidR="0090249C" w:rsidRPr="00C06116" w:rsidRDefault="0090249C" w:rsidP="00EF29E7">
            <w:pPr>
              <w:tabs>
                <w:tab w:val="left" w:pos="2985"/>
              </w:tabs>
              <w:ind w:firstLine="612"/>
              <w:jc w:val="center"/>
              <w:rPr>
                <w:b/>
              </w:rPr>
            </w:pPr>
            <w:r w:rsidRPr="00C06116">
              <w:rPr>
                <w:b/>
              </w:rPr>
              <w:t xml:space="preserve">Зміни до </w:t>
            </w:r>
            <w:r w:rsidR="00C06116" w:rsidRPr="00C06116">
              <w:rPr>
                <w:b/>
              </w:rPr>
              <w:t>Інструкції про порядок відкриття та закриття рахунків користувачам надавачами платіжних послуг з обслуговування рахунків</w:t>
            </w:r>
            <w:r w:rsidR="00C06116" w:rsidRPr="00C06116">
              <w:rPr>
                <w:rStyle w:val="rvts23"/>
                <w:b/>
                <w:bCs/>
                <w:shd w:val="clear" w:color="auto" w:fill="FFFFFF"/>
              </w:rPr>
              <w:t xml:space="preserve">, затвердженої </w:t>
            </w:r>
            <w:r w:rsidR="00C06116" w:rsidRPr="00C06116">
              <w:rPr>
                <w:b/>
                <w:shd w:val="clear" w:color="auto" w:fill="FFFFFF"/>
              </w:rPr>
              <w:t>постановою Правління Національного банку України від 29 липня 2022 року № 162 (зі змінами)</w:t>
            </w:r>
          </w:p>
        </w:tc>
      </w:tr>
      <w:tr w:rsidR="0090249C" w:rsidRPr="00EF29E7" w14:paraId="501F4D8F" w14:textId="77777777" w:rsidTr="00EF29E7">
        <w:trPr>
          <w:trHeight w:val="272"/>
        </w:trPr>
        <w:tc>
          <w:tcPr>
            <w:tcW w:w="7542" w:type="dxa"/>
            <w:shd w:val="clear" w:color="auto" w:fill="auto"/>
          </w:tcPr>
          <w:p w14:paraId="219FB697" w14:textId="77777777" w:rsidR="0090249C" w:rsidRPr="00EF29E7" w:rsidRDefault="00EF29E7" w:rsidP="00EF29E7">
            <w:pPr>
              <w:jc w:val="center"/>
              <w:rPr>
                <w:b/>
              </w:rPr>
            </w:pPr>
            <w:r w:rsidRPr="00EF29E7">
              <w:rPr>
                <w:b/>
                <w:shd w:val="clear" w:color="auto" w:fill="FFFFFF"/>
              </w:rPr>
              <w:t>Розділ І</w:t>
            </w:r>
          </w:p>
        </w:tc>
        <w:tc>
          <w:tcPr>
            <w:tcW w:w="7654" w:type="dxa"/>
            <w:shd w:val="clear" w:color="auto" w:fill="auto"/>
          </w:tcPr>
          <w:p w14:paraId="072C78B4" w14:textId="77777777" w:rsidR="0090249C" w:rsidRPr="00EF29E7" w:rsidRDefault="00EF29E7" w:rsidP="00EF29E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F29E7">
              <w:rPr>
                <w:b/>
                <w:shd w:val="clear" w:color="auto" w:fill="FFFFFF"/>
              </w:rPr>
              <w:t>Розділ І</w:t>
            </w:r>
          </w:p>
        </w:tc>
      </w:tr>
      <w:tr w:rsidR="000C548A" w:rsidRPr="00E13195" w14:paraId="133D0E96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5BEF3B51" w14:textId="133EF092" w:rsidR="008B1F78" w:rsidRPr="000C548A" w:rsidRDefault="000C548A" w:rsidP="008B1F78">
            <w:pPr>
              <w:pStyle w:val="a4"/>
              <w:spacing w:before="0" w:beforeAutospacing="0" w:after="0" w:afterAutospacing="0"/>
              <w:jc w:val="both"/>
            </w:pPr>
            <w:r w:rsidRPr="000C548A">
              <w:t xml:space="preserve">     </w:t>
            </w:r>
          </w:p>
          <w:p w14:paraId="7A3270BE" w14:textId="6828E6CF" w:rsidR="000C548A" w:rsidRPr="000C548A" w:rsidRDefault="000C548A" w:rsidP="000C548A">
            <w:pPr>
              <w:jc w:val="center"/>
            </w:pPr>
          </w:p>
        </w:tc>
        <w:tc>
          <w:tcPr>
            <w:tcW w:w="7654" w:type="dxa"/>
            <w:shd w:val="clear" w:color="auto" w:fill="auto"/>
          </w:tcPr>
          <w:p w14:paraId="201CFDB0" w14:textId="785C9F2E" w:rsidR="000C548A" w:rsidRPr="003068B7" w:rsidRDefault="000C548A" w:rsidP="000C0281">
            <w:pPr>
              <w:jc w:val="both"/>
              <w:rPr>
                <w:b/>
              </w:rPr>
            </w:pPr>
            <w:r w:rsidRPr="003068B7">
              <w:t xml:space="preserve">     </w:t>
            </w:r>
            <w:r w:rsidR="008B1F78" w:rsidRPr="003068B7">
              <w:rPr>
                <w:b/>
                <w:shd w:val="clear" w:color="auto" w:fill="FFFFFF"/>
                <w:lang w:val="ru-RU"/>
              </w:rPr>
              <w:t>4</w:t>
            </w:r>
            <w:r w:rsidR="008B1F78" w:rsidRPr="003068B7">
              <w:rPr>
                <w:b/>
                <w:shd w:val="clear" w:color="auto" w:fill="FFFFFF"/>
                <w:vertAlign w:val="superscript"/>
                <w:lang w:val="ru-RU"/>
              </w:rPr>
              <w:t>1</w:t>
            </w:r>
            <w:r w:rsidR="008B1F78" w:rsidRPr="003068B7">
              <w:rPr>
                <w:b/>
                <w:color w:val="000000" w:themeColor="text1"/>
                <w:shd w:val="clear" w:color="auto" w:fill="FFFFFF"/>
                <w:lang w:val="ru-RU"/>
              </w:rPr>
              <w:t xml:space="preserve">. </w:t>
            </w:r>
            <w:r w:rsidR="000C0281" w:rsidRPr="003068B7">
              <w:rPr>
                <w:b/>
                <w:color w:val="000000" w:themeColor="text1"/>
                <w:shd w:val="clear" w:color="auto" w:fill="FFFFFF"/>
                <w:lang w:val="ru-RU"/>
              </w:rPr>
              <w:t>П</w:t>
            </w:r>
            <w:proofErr w:type="spellStart"/>
            <w:r w:rsidR="008B1F78" w:rsidRPr="003068B7">
              <w:rPr>
                <w:b/>
                <w:color w:val="000000" w:themeColor="text1"/>
                <w:shd w:val="clear" w:color="auto" w:fill="FFFFFF"/>
              </w:rPr>
              <w:t>оточні</w:t>
            </w:r>
            <w:proofErr w:type="spellEnd"/>
            <w:r w:rsidR="008B1F78" w:rsidRPr="003068B7">
              <w:rPr>
                <w:b/>
                <w:color w:val="000000" w:themeColor="text1"/>
                <w:shd w:val="clear" w:color="auto" w:fill="FFFFFF"/>
              </w:rPr>
              <w:t xml:space="preserve"> рахунки із спеціальним режимом їх використання</w:t>
            </w:r>
            <w:r w:rsidR="000C0281" w:rsidRPr="003068B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8B1F78" w:rsidRPr="003068B7">
              <w:rPr>
                <w:b/>
                <w:color w:val="000000" w:themeColor="text1"/>
                <w:shd w:val="clear" w:color="auto" w:fill="FFFFFF"/>
              </w:rPr>
              <w:t>відкриваються у випадках, передбачених законами України або актами Кабінету Міністрів України.</w:t>
            </w:r>
          </w:p>
        </w:tc>
      </w:tr>
      <w:tr w:rsidR="000C548A" w:rsidRPr="00E13195" w14:paraId="25D9F0DD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63C4DBEE" w14:textId="1F003E53" w:rsidR="000C548A" w:rsidRPr="000C548A" w:rsidRDefault="000C548A" w:rsidP="000C548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654" w:type="dxa"/>
            <w:shd w:val="clear" w:color="auto" w:fill="auto"/>
          </w:tcPr>
          <w:p w14:paraId="6029276A" w14:textId="5D05F99C" w:rsidR="00DB4A38" w:rsidRPr="003068B7" w:rsidRDefault="008B1F78" w:rsidP="000C028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068B7">
              <w:rPr>
                <w:color w:val="000000" w:themeColor="text1"/>
              </w:rPr>
              <w:t xml:space="preserve">     </w:t>
            </w:r>
            <w:r w:rsidRPr="003068B7">
              <w:rPr>
                <w:b/>
                <w:color w:val="000000" w:themeColor="text1"/>
              </w:rPr>
              <w:t>6</w:t>
            </w:r>
            <w:r w:rsidRPr="003068B7">
              <w:rPr>
                <w:b/>
                <w:color w:val="000000" w:themeColor="text1"/>
                <w:vertAlign w:val="superscript"/>
              </w:rPr>
              <w:t>1</w:t>
            </w:r>
            <w:r w:rsidRPr="003068B7">
              <w:rPr>
                <w:b/>
                <w:color w:val="000000" w:themeColor="text1"/>
              </w:rPr>
              <w:t xml:space="preserve">. Небанківський надавач платіжних послуг, фінансова установа, що має право на надання платіжних послуг, мають право відкрити в небанківському надавачі платіжних послуг платіжний рахунок у порядку, визначеному в розділі ХІІІ цієї Інструкції, </w:t>
            </w:r>
            <w:r w:rsidRPr="003068B7">
              <w:rPr>
                <w:b/>
                <w:color w:val="000000" w:themeColor="text1"/>
                <w:shd w:val="clear" w:color="auto" w:fill="FFFFFF"/>
              </w:rPr>
              <w:t>виключно для цілей виконання платіжних операцій за рахунок власних коштів, відповідно до умов договору та вимог законодавства України.</w:t>
            </w:r>
          </w:p>
        </w:tc>
      </w:tr>
      <w:tr w:rsidR="000C548A" w:rsidRPr="00E13195" w14:paraId="457D06DF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34FA2295" w14:textId="77777777" w:rsidR="000C548A" w:rsidRPr="00BA10FE" w:rsidRDefault="000C548A" w:rsidP="000C548A">
            <w:pPr>
              <w:jc w:val="both"/>
            </w:pPr>
            <w:r>
              <w:t xml:space="preserve">     </w:t>
            </w:r>
            <w:r w:rsidRPr="00BA10FE">
              <w:t>13. Умови відкриття рахунку та особливості його обслуговування і закриття зазначаються в договорі, що укладається між надавачем платіжних послуг та користувачем – власником рахунку, і не повинні суперечити вимогам цієї Інструкції.</w:t>
            </w:r>
          </w:p>
          <w:p w14:paraId="7B0D6EDD" w14:textId="77777777" w:rsidR="000C548A" w:rsidRDefault="000C548A" w:rsidP="000C548A">
            <w:pPr>
              <w:tabs>
                <w:tab w:val="left" w:pos="851"/>
              </w:tabs>
              <w:jc w:val="both"/>
            </w:pPr>
            <w:r>
              <w:t xml:space="preserve">     </w:t>
            </w:r>
            <w:r w:rsidRPr="00BA10FE">
              <w:t>Договір банківського рахунку, договір банківського вкладу, договір рахунку умовного зберігання (</w:t>
            </w:r>
            <w:proofErr w:type="spellStart"/>
            <w:r w:rsidRPr="00BA10FE">
              <w:t>ескроу</w:t>
            </w:r>
            <w:proofErr w:type="spellEnd"/>
            <w:r w:rsidRPr="00BA10FE">
              <w:t xml:space="preserve">), договір платіжного рахунку, договір про надання платіжних послуг укладаються між надавачем платіжних послуг та користувачем з урахуванням вимог, визначених </w:t>
            </w:r>
            <w:r w:rsidRPr="00BA10FE">
              <w:lastRenderedPageBreak/>
              <w:t xml:space="preserve">Законом та </w:t>
            </w:r>
            <w:r w:rsidRPr="006F1F2D">
              <w:t>Законом України “Про фінансові послуги та фінансові компанії</w:t>
            </w:r>
            <w:r w:rsidRPr="00BA10FE">
              <w:t>”.</w:t>
            </w:r>
          </w:p>
          <w:p w14:paraId="4D631217" w14:textId="77777777" w:rsidR="000C548A" w:rsidRPr="00C06116" w:rsidRDefault="000C548A" w:rsidP="000C548A">
            <w:pPr>
              <w:jc w:val="both"/>
              <w:rPr>
                <w:strike/>
              </w:rPr>
            </w:pPr>
            <w:r>
              <w:t xml:space="preserve">     </w:t>
            </w:r>
            <w:r w:rsidRPr="00C06116">
              <w:rPr>
                <w:strike/>
              </w:rPr>
              <w:t>Договір, який укладається банком з клієнтом – фізичною особою, може бути підписаний фізичною особою цифровим власноручним підписом.</w:t>
            </w:r>
          </w:p>
          <w:p w14:paraId="6CB9D54B" w14:textId="77777777" w:rsidR="000C548A" w:rsidRPr="00C06116" w:rsidRDefault="000C548A" w:rsidP="000C548A">
            <w:pPr>
              <w:tabs>
                <w:tab w:val="left" w:pos="851"/>
              </w:tabs>
              <w:jc w:val="center"/>
            </w:pPr>
            <w:r w:rsidRPr="00C06116">
              <w:t>…</w:t>
            </w:r>
          </w:p>
        </w:tc>
        <w:tc>
          <w:tcPr>
            <w:tcW w:w="7654" w:type="dxa"/>
            <w:shd w:val="clear" w:color="auto" w:fill="auto"/>
          </w:tcPr>
          <w:p w14:paraId="30388F64" w14:textId="77777777" w:rsidR="000C548A" w:rsidRPr="003068B7" w:rsidRDefault="000C548A" w:rsidP="000C548A">
            <w:pPr>
              <w:jc w:val="both"/>
            </w:pPr>
            <w:r w:rsidRPr="003068B7">
              <w:lastRenderedPageBreak/>
              <w:t xml:space="preserve">     13. Умови відкриття рахунку та особливості його обслуговування і закриття зазначаються в договорі, що укладається між надавачем платіжних послуг та користувачем – власником рахунку, і не повинні суперечити вимогам цієї Інструкції.</w:t>
            </w:r>
          </w:p>
          <w:p w14:paraId="04E1AD99" w14:textId="77777777" w:rsidR="000C548A" w:rsidRPr="003068B7" w:rsidRDefault="000C548A" w:rsidP="000C548A">
            <w:pPr>
              <w:tabs>
                <w:tab w:val="left" w:pos="851"/>
              </w:tabs>
              <w:jc w:val="both"/>
            </w:pPr>
            <w:r w:rsidRPr="003068B7">
              <w:t xml:space="preserve">     Договір банківського рахунку, договір банківського вкладу, договір рахунку умовного зберігання (</w:t>
            </w:r>
            <w:proofErr w:type="spellStart"/>
            <w:r w:rsidRPr="003068B7">
              <w:t>ескроу</w:t>
            </w:r>
            <w:proofErr w:type="spellEnd"/>
            <w:r w:rsidRPr="003068B7">
              <w:t xml:space="preserve">), договір платіжного рахунку, договір про надання платіжних послуг укладаються між надавачем платіжних послуг та користувачем з урахуванням вимог, визначених </w:t>
            </w:r>
            <w:r w:rsidRPr="003068B7">
              <w:lastRenderedPageBreak/>
              <w:t>Законом та Законом України “Про фінансові послуги та фінансові компанії”.</w:t>
            </w:r>
          </w:p>
          <w:p w14:paraId="60CD77E2" w14:textId="77777777" w:rsidR="000C548A" w:rsidRPr="003068B7" w:rsidRDefault="000C548A" w:rsidP="000C548A">
            <w:pPr>
              <w:tabs>
                <w:tab w:val="left" w:pos="851"/>
              </w:tabs>
              <w:jc w:val="center"/>
            </w:pPr>
            <w:r w:rsidRPr="003068B7">
              <w:t>…</w:t>
            </w:r>
          </w:p>
        </w:tc>
      </w:tr>
      <w:tr w:rsidR="000C548A" w:rsidRPr="00E13195" w14:paraId="2BF227CC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687D76D2" w14:textId="77777777" w:rsidR="000C548A" w:rsidRPr="00BA10FE" w:rsidRDefault="000C548A" w:rsidP="000C548A">
            <w:pPr>
              <w:jc w:val="both"/>
            </w:pPr>
            <w:r>
              <w:lastRenderedPageBreak/>
              <w:t xml:space="preserve">     </w:t>
            </w:r>
            <w:r w:rsidRPr="00BA10FE">
              <w:t>14. Користувач (крім фізичної особи, фізичної особи-підприємця та фізичної особи, яка провадить незалежну професійну діяльність) подає/надсилає до надавача платіжних послуг під час відкриття поточного, платіжного рахунку перелік осіб, які мають право розпоряджатися рахунком і підписувати платіжні інструкції (далі – перелік).</w:t>
            </w:r>
          </w:p>
          <w:p w14:paraId="30444004" w14:textId="77777777" w:rsidR="000C548A" w:rsidRPr="00BA10FE" w:rsidRDefault="000C548A" w:rsidP="000C548A">
            <w:pPr>
              <w:jc w:val="both"/>
            </w:pPr>
            <w:r>
              <w:t xml:space="preserve">     </w:t>
            </w:r>
            <w:r w:rsidRPr="00BA10FE">
              <w:t xml:space="preserve">Перелік складається користувачем у довільній формі або у формі, визначеній надавачем платіжних послуг, та </w:t>
            </w:r>
            <w:r>
              <w:t>повинен</w:t>
            </w:r>
            <w:r w:rsidRPr="00BA10FE">
              <w:t xml:space="preserve"> містити такі обов’язкові реквізити: прізвище, </w:t>
            </w:r>
            <w:r>
              <w:t xml:space="preserve">власне </w:t>
            </w:r>
            <w:r w:rsidRPr="00BA10FE">
              <w:t xml:space="preserve">ім’я, по батькові (за наявності) </w:t>
            </w:r>
            <w:r w:rsidRPr="00D21E4C">
              <w:rPr>
                <w:u w:val="single"/>
              </w:rPr>
              <w:t>розпорядника рахунку</w:t>
            </w:r>
            <w:r w:rsidRPr="00BA10FE">
              <w:t xml:space="preserve"> та його підпис. Кількість </w:t>
            </w:r>
            <w:r w:rsidR="00DB4A38" w:rsidRPr="00D21E4C">
              <w:rPr>
                <w:u w:val="single"/>
              </w:rPr>
              <w:t>розпорядників рахунку</w:t>
            </w:r>
            <w:r w:rsidR="00DB4A38" w:rsidRPr="00BA10FE">
              <w:t xml:space="preserve"> </w:t>
            </w:r>
            <w:r w:rsidRPr="00BA10FE">
              <w:t xml:space="preserve">в переліку не обмежується. Перелік, поданий користувачем-резидентом, засвідчується підписом керівника (уповноваженої особи)/керівника (уповноваженої особи) організації, якій користувач адміністративно підпорядкований. Підпис </w:t>
            </w:r>
            <w:r w:rsidRPr="00D21E4C">
              <w:rPr>
                <w:u w:val="single"/>
              </w:rPr>
              <w:t>розпорядника рахунку</w:t>
            </w:r>
            <w:r w:rsidRPr="00BA10FE">
              <w:t xml:space="preserve"> користувача не зазначається в переліку, якщо розпорядження рахунком здійснюватим</w:t>
            </w:r>
            <w:r>
              <w:t>е</w:t>
            </w:r>
            <w:r w:rsidRPr="00BA10FE">
              <w:t>ться лише за допомогою засобів дистанційної комунікації.</w:t>
            </w:r>
          </w:p>
          <w:p w14:paraId="4558983E" w14:textId="77777777" w:rsidR="000C548A" w:rsidRDefault="000C548A" w:rsidP="000C548A">
            <w:pPr>
              <w:jc w:val="center"/>
            </w:pPr>
            <w:r>
              <w:t>…</w:t>
            </w:r>
          </w:p>
        </w:tc>
        <w:tc>
          <w:tcPr>
            <w:tcW w:w="7654" w:type="dxa"/>
            <w:shd w:val="clear" w:color="auto" w:fill="auto"/>
          </w:tcPr>
          <w:p w14:paraId="72D5649A" w14:textId="77777777" w:rsidR="000C548A" w:rsidRPr="003068B7" w:rsidRDefault="000C548A" w:rsidP="000C548A">
            <w:pPr>
              <w:jc w:val="both"/>
            </w:pPr>
            <w:r w:rsidRPr="003068B7">
              <w:t xml:space="preserve">     14. Користувач (крім фізичної особи, фізичної особи-підприємця та фізичної особи, яка провадить незалежну професійну діяльність) подає/надсилає до надавача платіжних послуг під час відкриття поточного, платіжного рахунку перелік осіб, які мають право розпоряджатися рахунком і підписувати платіжні інструкції (далі – перелік).</w:t>
            </w:r>
          </w:p>
          <w:p w14:paraId="7F815F3A" w14:textId="3A947BFC" w:rsidR="000C548A" w:rsidRPr="003068B7" w:rsidRDefault="000C548A" w:rsidP="000C548A">
            <w:pPr>
              <w:jc w:val="both"/>
            </w:pPr>
            <w:r w:rsidRPr="003068B7">
              <w:t xml:space="preserve">     Перелік складається користувачем у довільній формі або у формі, визначеній надавачем платіжних послуг, та повинен містити </w:t>
            </w:r>
            <w:r w:rsidR="0097008C">
              <w:t>інформацію про</w:t>
            </w:r>
            <w:r w:rsidRPr="003068B7">
              <w:t xml:space="preserve"> прізвище, власне ім’я, по батькові (за наявності) </w:t>
            </w:r>
            <w:r w:rsidRPr="003068B7">
              <w:rPr>
                <w:b/>
              </w:rPr>
              <w:t>особи, яка має право розпоряджатися рахунком і підписувати платіжні інструкції (далі – особа, яка має право розпоряджатися рахунком)</w:t>
            </w:r>
            <w:r w:rsidRPr="003068B7">
              <w:t xml:space="preserve"> та його підпис. Кількість </w:t>
            </w:r>
            <w:r w:rsidRPr="003068B7">
              <w:rPr>
                <w:b/>
                <w:shd w:val="clear" w:color="auto" w:fill="FFFFFF"/>
              </w:rPr>
              <w:t>осіб, які мають право розпоряджатися рахунком</w:t>
            </w:r>
            <w:r w:rsidRPr="003068B7">
              <w:t xml:space="preserve"> в переліку не обмежується. Перелік, поданий користувачем-резидентом, засвідчується підписом керівника (уповноваженої особи)/керівника (уповноваженої особи) організації, якій користувач адміністративно підпорядкований. Підпис </w:t>
            </w:r>
            <w:r w:rsidRPr="003068B7">
              <w:rPr>
                <w:b/>
                <w:shd w:val="clear" w:color="auto" w:fill="FFFFFF"/>
              </w:rPr>
              <w:t>особи, яка має право розпоряджатися рахунком</w:t>
            </w:r>
            <w:r w:rsidRPr="003068B7">
              <w:t xml:space="preserve"> користувача не зазначається в переліку, якщо розпорядження рахунком здійснюватиметься лише за допомогою засобів дистанційної комунікації </w:t>
            </w:r>
            <w:r w:rsidRPr="003068B7">
              <w:rPr>
                <w:b/>
                <w:bCs/>
                <w:color w:val="000000"/>
                <w:shd w:val="clear" w:color="auto" w:fill="FFFFFF"/>
              </w:rPr>
              <w:t>(крім випадків застосування цифрового власноручного підпису)</w:t>
            </w:r>
            <w:r w:rsidRPr="003068B7">
              <w:t>.</w:t>
            </w:r>
          </w:p>
          <w:p w14:paraId="212F3ADE" w14:textId="77777777" w:rsidR="000C548A" w:rsidRPr="003068B7" w:rsidRDefault="000C548A" w:rsidP="000C548A">
            <w:pPr>
              <w:jc w:val="center"/>
            </w:pPr>
            <w:r w:rsidRPr="003068B7">
              <w:t>…</w:t>
            </w:r>
          </w:p>
        </w:tc>
      </w:tr>
      <w:tr w:rsidR="000C548A" w:rsidRPr="0008679C" w14:paraId="72301F52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03ED8C16" w14:textId="77777777" w:rsidR="000C548A" w:rsidRPr="00C06116" w:rsidRDefault="000C548A" w:rsidP="000C548A">
            <w:pPr>
              <w:jc w:val="both"/>
            </w:pPr>
            <w:r>
              <w:t xml:space="preserve">     </w:t>
            </w:r>
            <w:r w:rsidRPr="00C06116">
              <w:t>16. Розпорядження рахунками фізичних осіб, фізичних осіб-підприємців та фізичних осіб, які провадять незалежну професійну діяльність, здійснюються за розпорядженням:</w:t>
            </w:r>
          </w:p>
          <w:p w14:paraId="4B23ECB3" w14:textId="77777777" w:rsidR="000C548A" w:rsidRPr="00C06116" w:rsidRDefault="000C548A" w:rsidP="000C548A">
            <w:pPr>
              <w:pStyle w:val="ae"/>
              <w:ind w:firstLine="56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…</w:t>
            </w:r>
          </w:p>
          <w:p w14:paraId="3C3C7E85" w14:textId="77777777" w:rsidR="000C548A" w:rsidRPr="00C06116" w:rsidRDefault="000C548A" w:rsidP="000C548A">
            <w:pPr>
              <w:pStyle w:val="ae"/>
              <w:jc w:val="both"/>
              <w:rPr>
                <w:b/>
                <w:strike/>
                <w:sz w:val="24"/>
                <w:szCs w:val="24"/>
              </w:rPr>
            </w:pPr>
            <w:r w:rsidRPr="00C06116">
              <w:rPr>
                <w:strike/>
                <w:sz w:val="24"/>
                <w:szCs w:val="24"/>
                <w:lang w:eastAsia="zh-CN"/>
              </w:rPr>
              <w:lastRenderedPageBreak/>
              <w:t xml:space="preserve">     Зразок власноручного підпису власника рахунку – фізичної особи, фізичної особи-підприємця, фізичної особи, яка провадить незалежну професійну діяльність/довіреної особи/іншої уповноваженої особи, визначеної законодавством України, зазначений у договорі банківського рахунку/договорі платіжного рахунку/довіреності або в іншому документі, визначеному внутрішніми документами надавача платіжних послуг, використовується під час здійснення операцій за рахунками фізичних осіб, фізичних осіб-підприємців та фізичних осіб, які провадять незалежну професійну діяльність.</w:t>
            </w:r>
          </w:p>
        </w:tc>
        <w:tc>
          <w:tcPr>
            <w:tcW w:w="7654" w:type="dxa"/>
            <w:shd w:val="clear" w:color="auto" w:fill="auto"/>
          </w:tcPr>
          <w:p w14:paraId="77CE98F1" w14:textId="77777777" w:rsidR="000C548A" w:rsidRPr="003068B7" w:rsidRDefault="000C548A" w:rsidP="000C548A">
            <w:pPr>
              <w:jc w:val="both"/>
            </w:pPr>
            <w:r w:rsidRPr="003068B7">
              <w:lastRenderedPageBreak/>
              <w:t xml:space="preserve">     16. Розпорядження рахунками фізичних осіб, фізичних осіб-підприємців та фізичних осіб, які провадять незалежну професійну діяльність, здійснюються за розпорядженням:</w:t>
            </w:r>
          </w:p>
          <w:p w14:paraId="4BCE5394" w14:textId="77777777" w:rsidR="000C548A" w:rsidRPr="003068B7" w:rsidRDefault="000C548A" w:rsidP="000C548A">
            <w:pPr>
              <w:pStyle w:val="ae"/>
              <w:ind w:firstLine="567"/>
              <w:jc w:val="center"/>
              <w:rPr>
                <w:sz w:val="24"/>
                <w:szCs w:val="24"/>
                <w:lang w:eastAsia="zh-CN"/>
              </w:rPr>
            </w:pPr>
            <w:r w:rsidRPr="003068B7">
              <w:rPr>
                <w:sz w:val="24"/>
                <w:szCs w:val="24"/>
                <w:lang w:eastAsia="zh-CN"/>
              </w:rPr>
              <w:t>…</w:t>
            </w:r>
          </w:p>
          <w:p w14:paraId="456942AF" w14:textId="77777777" w:rsidR="000C548A" w:rsidRPr="003068B7" w:rsidRDefault="000C548A" w:rsidP="000C548A">
            <w:pPr>
              <w:pStyle w:val="ae"/>
              <w:jc w:val="both"/>
              <w:rPr>
                <w:b/>
                <w:strike/>
                <w:sz w:val="24"/>
                <w:szCs w:val="24"/>
              </w:rPr>
            </w:pPr>
          </w:p>
        </w:tc>
      </w:tr>
      <w:tr w:rsidR="000C548A" w:rsidRPr="0008679C" w14:paraId="1FA46352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3B2E6E45" w14:textId="77777777" w:rsidR="000C548A" w:rsidRPr="00C06116" w:rsidRDefault="000C548A" w:rsidP="000C548A">
            <w:pPr>
              <w:jc w:val="both"/>
            </w:pPr>
            <w:r>
              <w:t xml:space="preserve">     </w:t>
            </w:r>
            <w:r w:rsidRPr="00C06116">
              <w:t xml:space="preserve">22. Вимоги щодо створення, зберігання електронних документів та використання </w:t>
            </w:r>
            <w:r w:rsidRPr="00C06116">
              <w:rPr>
                <w:strike/>
              </w:rPr>
              <w:t>цифрового власноручного підпису фізичною особою,</w:t>
            </w:r>
            <w:r w:rsidRPr="00C06116">
              <w:t xml:space="preserve"> електронних підписів під час відкриття та закриття надавачами платіжних послуг рахунків користувачам у випадках, передбачених цією Інструкцією, регулюються Законами України </w:t>
            </w:r>
            <w:r w:rsidRPr="00C06116">
              <w:rPr>
                <w:lang w:val="ru-RU"/>
              </w:rPr>
              <w:t>“</w:t>
            </w:r>
            <w:r w:rsidRPr="00C06116">
              <w:t>Про електронні документи та електронний документообіг</w:t>
            </w:r>
            <w:r w:rsidRPr="00C06116">
              <w:rPr>
                <w:lang w:val="ru-RU"/>
              </w:rPr>
              <w:t>”</w:t>
            </w:r>
            <w:r w:rsidRPr="00C06116">
              <w:t xml:space="preserve">, </w:t>
            </w:r>
            <w:r w:rsidRPr="00C06116">
              <w:rPr>
                <w:lang w:val="ru-RU"/>
              </w:rPr>
              <w:t>“</w:t>
            </w:r>
            <w:r w:rsidRPr="00C06116">
              <w:rPr>
                <w:u w:val="single"/>
              </w:rPr>
              <w:t>Про електронні довірчі послуги</w:t>
            </w:r>
            <w:r w:rsidRPr="00C06116">
              <w:rPr>
                <w:u w:val="single"/>
                <w:lang w:val="ru-RU"/>
              </w:rPr>
              <w:t>”</w:t>
            </w:r>
            <w:r w:rsidRPr="00C06116">
              <w:t xml:space="preserve"> та </w:t>
            </w:r>
            <w:r w:rsidRPr="00C06116">
              <w:rPr>
                <w:u w:val="single"/>
              </w:rPr>
              <w:t>нормативно-правовими актами</w:t>
            </w:r>
            <w:r w:rsidRPr="00C06116">
              <w:t xml:space="preserve"> Національного банку з питань </w:t>
            </w:r>
            <w:r w:rsidRPr="004A2244">
              <w:rPr>
                <w:u w:val="single"/>
              </w:rPr>
              <w:t>застосування</w:t>
            </w:r>
            <w:r w:rsidRPr="00C06116">
              <w:t xml:space="preserve"> </w:t>
            </w:r>
            <w:r w:rsidRPr="00C06116">
              <w:rPr>
                <w:strike/>
              </w:rPr>
              <w:t>цифрового власноручного підпису,</w:t>
            </w:r>
            <w:r w:rsidRPr="00C06116">
              <w:t xml:space="preserve"> електронного підпису.</w:t>
            </w:r>
          </w:p>
        </w:tc>
        <w:tc>
          <w:tcPr>
            <w:tcW w:w="7654" w:type="dxa"/>
            <w:shd w:val="clear" w:color="auto" w:fill="auto"/>
          </w:tcPr>
          <w:p w14:paraId="7F49330A" w14:textId="74ADEDB9" w:rsidR="000C548A" w:rsidRPr="003068B7" w:rsidRDefault="000C548A" w:rsidP="000C548A">
            <w:pPr>
              <w:jc w:val="both"/>
              <w:rPr>
                <w:b/>
              </w:rPr>
            </w:pPr>
            <w:r w:rsidRPr="003068B7">
              <w:rPr>
                <w:shd w:val="clear" w:color="auto" w:fill="FFFFFF"/>
              </w:rPr>
              <w:t xml:space="preserve">     22. </w:t>
            </w:r>
            <w:r w:rsidRPr="003068B7">
              <w:t xml:space="preserve">Вимоги щодо створення, зберігання електронних документів та використання електронних підписів під час відкриття та закриття надавачами платіжних послуг рахунків користувачам у випадках, передбачених цією Інструкцією, регулюються Законами України </w:t>
            </w:r>
            <w:r w:rsidRPr="003068B7">
              <w:rPr>
                <w:lang w:val="ru-RU"/>
              </w:rPr>
              <w:t>“</w:t>
            </w:r>
            <w:r w:rsidRPr="003068B7">
              <w:t>Про електронні документи та електронний документообіг</w:t>
            </w:r>
            <w:r w:rsidRPr="003068B7">
              <w:rPr>
                <w:lang w:val="ru-RU"/>
              </w:rPr>
              <w:t>”</w:t>
            </w:r>
            <w:r w:rsidRPr="003068B7">
              <w:t xml:space="preserve">, </w:t>
            </w:r>
            <w:r w:rsidRPr="003068B7">
              <w:rPr>
                <w:lang w:val="ru-RU"/>
              </w:rPr>
              <w:t>“</w:t>
            </w:r>
            <w:r w:rsidRPr="003068B7">
              <w:rPr>
                <w:b/>
                <w:bCs/>
                <w:shd w:val="clear" w:color="auto" w:fill="FFFFFF"/>
              </w:rPr>
              <w:t>Про електронну ідентифікацію та електронні довірчі послуги</w:t>
            </w:r>
            <w:r w:rsidRPr="003068B7">
              <w:rPr>
                <w:lang w:val="ru-RU"/>
              </w:rPr>
              <w:t>”</w:t>
            </w:r>
            <w:r w:rsidRPr="003068B7">
              <w:t xml:space="preserve"> та </w:t>
            </w:r>
            <w:r w:rsidR="00762245" w:rsidRPr="003068B7">
              <w:rPr>
                <w:b/>
              </w:rPr>
              <w:t>Положенням про використання електронного підпису та електронної печатки, затверджен</w:t>
            </w:r>
            <w:r w:rsidR="000E6E3C">
              <w:rPr>
                <w:b/>
              </w:rPr>
              <w:t>им</w:t>
            </w:r>
            <w:r w:rsidR="00762245" w:rsidRPr="003068B7">
              <w:rPr>
                <w:b/>
              </w:rPr>
              <w:t xml:space="preserve"> постановою Правління Національного банку України від 20 грудня 2023 року № 172.</w:t>
            </w:r>
          </w:p>
          <w:p w14:paraId="36380F01" w14:textId="77777777" w:rsidR="000C548A" w:rsidRPr="003068B7" w:rsidRDefault="000C548A" w:rsidP="000C548A">
            <w:pPr>
              <w:jc w:val="both"/>
              <w:rPr>
                <w:b/>
              </w:rPr>
            </w:pPr>
            <w:r w:rsidRPr="003068B7">
              <w:rPr>
                <w:b/>
              </w:rPr>
              <w:t xml:space="preserve">     Користувач (</w:t>
            </w:r>
            <w:r w:rsidR="00DB4A38" w:rsidRPr="003068B7">
              <w:rPr>
                <w:b/>
              </w:rPr>
              <w:t>представник користувача</w:t>
            </w:r>
            <w:r w:rsidRPr="003068B7">
              <w:rPr>
                <w:b/>
              </w:rPr>
              <w:t xml:space="preserve">) під час підписання електронних документів має право використовувати кваліфікований електронний підпис, цифровий власноручний підпис, </w:t>
            </w:r>
            <w:r w:rsidRPr="003068B7">
              <w:rPr>
                <w:b/>
                <w:color w:val="000000"/>
                <w:shd w:val="clear" w:color="auto" w:fill="FFFFFF"/>
              </w:rPr>
              <w:t xml:space="preserve">удосконалений електронний підпис з кваліфікованим сертифікатом, </w:t>
            </w:r>
            <w:r w:rsidRPr="003068B7">
              <w:rPr>
                <w:b/>
              </w:rPr>
              <w:t>а також інший електронний підпис, у разі якщо використання іншого електронного підпису попередньо визначено договором між користувачем та надавачем платіжних послуг.</w:t>
            </w:r>
          </w:p>
        </w:tc>
      </w:tr>
      <w:tr w:rsidR="004243CC" w:rsidRPr="0008679C" w14:paraId="170DB0A2" w14:textId="77777777" w:rsidTr="008937A5">
        <w:trPr>
          <w:trHeight w:val="285"/>
        </w:trPr>
        <w:tc>
          <w:tcPr>
            <w:tcW w:w="7542" w:type="dxa"/>
            <w:shd w:val="clear" w:color="auto" w:fill="auto"/>
          </w:tcPr>
          <w:p w14:paraId="0082FEFC" w14:textId="77777777" w:rsidR="004243CC" w:rsidRPr="00A91150" w:rsidRDefault="004243CC" w:rsidP="004243CC">
            <w:pPr>
              <w:jc w:val="center"/>
              <w:rPr>
                <w:b/>
              </w:rPr>
            </w:pPr>
            <w:r w:rsidRPr="00A91150">
              <w:rPr>
                <w:b/>
              </w:rPr>
              <w:t>Розділ ХІ</w:t>
            </w:r>
            <w:r w:rsidRPr="00A91150">
              <w:rPr>
                <w:b/>
                <w:lang w:val="en-US"/>
              </w:rPr>
              <w:t>V</w:t>
            </w:r>
          </w:p>
        </w:tc>
        <w:tc>
          <w:tcPr>
            <w:tcW w:w="7654" w:type="dxa"/>
            <w:shd w:val="clear" w:color="auto" w:fill="auto"/>
          </w:tcPr>
          <w:p w14:paraId="3C7CB3E2" w14:textId="77777777" w:rsidR="004243CC" w:rsidRPr="003068B7" w:rsidRDefault="004243CC" w:rsidP="004243CC">
            <w:pPr>
              <w:jc w:val="center"/>
              <w:rPr>
                <w:shd w:val="clear" w:color="auto" w:fill="FFFFFF"/>
              </w:rPr>
            </w:pPr>
            <w:r w:rsidRPr="003068B7">
              <w:rPr>
                <w:b/>
              </w:rPr>
              <w:t>Розділ ХІ</w:t>
            </w:r>
            <w:r w:rsidRPr="003068B7">
              <w:rPr>
                <w:b/>
                <w:lang w:val="en-US"/>
              </w:rPr>
              <w:t>V</w:t>
            </w:r>
          </w:p>
        </w:tc>
      </w:tr>
      <w:tr w:rsidR="004243CC" w:rsidRPr="0008679C" w14:paraId="6F9B7F12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033DF964" w14:textId="77777777" w:rsidR="004243CC" w:rsidRPr="00A91150" w:rsidRDefault="004243CC" w:rsidP="004243CC">
            <w:pPr>
              <w:pStyle w:val="3"/>
              <w:ind w:firstLine="567"/>
              <w:rPr>
                <w:sz w:val="24"/>
                <w:szCs w:val="24"/>
              </w:rPr>
            </w:pPr>
            <w:r w:rsidRPr="00A91150">
              <w:rPr>
                <w:sz w:val="24"/>
                <w:szCs w:val="24"/>
              </w:rPr>
              <w:t>ХІ</w:t>
            </w:r>
            <w:r w:rsidRPr="00A91150">
              <w:rPr>
                <w:sz w:val="24"/>
                <w:szCs w:val="24"/>
                <w:lang w:val="en-US"/>
              </w:rPr>
              <w:t>V</w:t>
            </w:r>
            <w:r w:rsidRPr="00A91150">
              <w:rPr>
                <w:sz w:val="24"/>
                <w:szCs w:val="24"/>
              </w:rPr>
              <w:t xml:space="preserve">. Зміна рахунків </w:t>
            </w:r>
            <w:r w:rsidRPr="00A91150">
              <w:rPr>
                <w:sz w:val="24"/>
                <w:szCs w:val="24"/>
                <w:u w:val="single"/>
              </w:rPr>
              <w:t>клієнтів банків</w:t>
            </w:r>
            <w:r w:rsidRPr="00A91150">
              <w:rPr>
                <w:sz w:val="24"/>
                <w:szCs w:val="24"/>
              </w:rPr>
              <w:t xml:space="preserve"> та переоформлення </w:t>
            </w:r>
          </w:p>
          <w:p w14:paraId="7B953031" w14:textId="77777777" w:rsidR="004243CC" w:rsidRPr="00A91150" w:rsidRDefault="004243CC" w:rsidP="004243CC">
            <w:pPr>
              <w:pStyle w:val="3"/>
              <w:ind w:firstLine="567"/>
              <w:rPr>
                <w:sz w:val="24"/>
                <w:szCs w:val="24"/>
              </w:rPr>
            </w:pPr>
            <w:r w:rsidRPr="00A91150">
              <w:rPr>
                <w:sz w:val="24"/>
                <w:szCs w:val="24"/>
              </w:rPr>
              <w:t>кореспондентських рахунків</w:t>
            </w:r>
          </w:p>
        </w:tc>
        <w:tc>
          <w:tcPr>
            <w:tcW w:w="7654" w:type="dxa"/>
            <w:shd w:val="clear" w:color="auto" w:fill="auto"/>
          </w:tcPr>
          <w:p w14:paraId="2566B0DB" w14:textId="77777777" w:rsidR="004243CC" w:rsidRPr="003068B7" w:rsidRDefault="004243CC" w:rsidP="004243CC">
            <w:pPr>
              <w:pStyle w:val="3"/>
              <w:ind w:firstLine="567"/>
              <w:rPr>
                <w:sz w:val="24"/>
                <w:szCs w:val="24"/>
              </w:rPr>
            </w:pPr>
            <w:r w:rsidRPr="003068B7">
              <w:rPr>
                <w:sz w:val="24"/>
                <w:szCs w:val="24"/>
              </w:rPr>
              <w:t>ХІ</w:t>
            </w:r>
            <w:r w:rsidRPr="003068B7">
              <w:rPr>
                <w:sz w:val="24"/>
                <w:szCs w:val="24"/>
                <w:lang w:val="en-US"/>
              </w:rPr>
              <w:t>V</w:t>
            </w:r>
            <w:r w:rsidRPr="003068B7">
              <w:rPr>
                <w:sz w:val="24"/>
                <w:szCs w:val="24"/>
              </w:rPr>
              <w:t xml:space="preserve">. Зміна рахунків </w:t>
            </w:r>
            <w:r w:rsidRPr="003068B7">
              <w:rPr>
                <w:b/>
                <w:sz w:val="24"/>
                <w:szCs w:val="24"/>
                <w:shd w:val="clear" w:color="auto" w:fill="FFFFFF"/>
              </w:rPr>
              <w:t>користувачів надавачів платіжних послуг</w:t>
            </w:r>
            <w:r w:rsidRPr="003068B7">
              <w:rPr>
                <w:sz w:val="24"/>
                <w:szCs w:val="24"/>
              </w:rPr>
              <w:t xml:space="preserve"> та переоформлення кореспондентських рахунків</w:t>
            </w:r>
          </w:p>
        </w:tc>
      </w:tr>
      <w:tr w:rsidR="004243CC" w:rsidRPr="0008679C" w14:paraId="140287F3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3B66DA9D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A91150">
              <w:t xml:space="preserve">     113. </w:t>
            </w:r>
            <w:r w:rsidRPr="00A91150">
              <w:rPr>
                <w:u w:val="single"/>
              </w:rPr>
              <w:t>Банк</w:t>
            </w:r>
            <w:r w:rsidRPr="00A91150">
              <w:t xml:space="preserve"> здійснює процедуру відкриття нових рахунків і закриття раніше відкритих рахунків </w:t>
            </w:r>
            <w:r w:rsidRPr="00A91150">
              <w:rPr>
                <w:u w:val="single"/>
              </w:rPr>
              <w:t>клієнтів</w:t>
            </w:r>
            <w:r w:rsidRPr="00A91150">
              <w:t xml:space="preserve"> у разі зміни за ініціативою </w:t>
            </w:r>
            <w:r w:rsidRPr="00A91150">
              <w:rPr>
                <w:u w:val="single"/>
              </w:rPr>
              <w:t>банку</w:t>
            </w:r>
            <w:r w:rsidRPr="00A91150">
              <w:t xml:space="preserve"> </w:t>
            </w:r>
            <w:r w:rsidRPr="00A060B0">
              <w:rPr>
                <w:strike/>
              </w:rPr>
              <w:t>всіх або</w:t>
            </w:r>
            <w:r w:rsidRPr="00A91150">
              <w:t xml:space="preserve"> окремих </w:t>
            </w:r>
            <w:r w:rsidRPr="00A060B0">
              <w:rPr>
                <w:strike/>
              </w:rPr>
              <w:t>(одного або кількох) банківських</w:t>
            </w:r>
            <w:r w:rsidRPr="00A91150">
              <w:t xml:space="preserve"> реквізитів: </w:t>
            </w:r>
            <w:r w:rsidRPr="00A91150">
              <w:lastRenderedPageBreak/>
              <w:t xml:space="preserve">найменування </w:t>
            </w:r>
            <w:r w:rsidRPr="00153AAF">
              <w:rPr>
                <w:u w:val="single"/>
              </w:rPr>
              <w:t>банку</w:t>
            </w:r>
            <w:r w:rsidRPr="00A91150">
              <w:t xml:space="preserve">, </w:t>
            </w:r>
            <w:r w:rsidRPr="00153AAF">
              <w:rPr>
                <w:strike/>
              </w:rPr>
              <w:t xml:space="preserve">єдиного ідентифікатора Національного банку (коду </w:t>
            </w:r>
            <w:r w:rsidRPr="00153AAF">
              <w:rPr>
                <w:strike/>
                <w:lang w:val="en-US"/>
              </w:rPr>
              <w:t>ID</w:t>
            </w:r>
            <w:r w:rsidRPr="00153AAF">
              <w:rPr>
                <w:strike/>
              </w:rPr>
              <w:t xml:space="preserve"> НБУ) для</w:t>
            </w:r>
            <w:r w:rsidRPr="00A91150">
              <w:rPr>
                <w:strike/>
              </w:rPr>
              <w:t xml:space="preserve"> банку</w:t>
            </w:r>
            <w:r w:rsidRPr="00A91150">
              <w:t>, номера рахунку.</w:t>
            </w:r>
          </w:p>
        </w:tc>
        <w:tc>
          <w:tcPr>
            <w:tcW w:w="7654" w:type="dxa"/>
            <w:shd w:val="clear" w:color="auto" w:fill="auto"/>
          </w:tcPr>
          <w:p w14:paraId="73DD8349" w14:textId="77777777" w:rsidR="004243CC" w:rsidRPr="003068B7" w:rsidRDefault="004243CC" w:rsidP="004243CC">
            <w:pPr>
              <w:jc w:val="both"/>
              <w:rPr>
                <w:shd w:val="clear" w:color="auto" w:fill="FFFFFF"/>
              </w:rPr>
            </w:pPr>
            <w:r w:rsidRPr="003068B7">
              <w:lastRenderedPageBreak/>
              <w:t xml:space="preserve">     113. </w:t>
            </w:r>
            <w:r w:rsidRPr="003068B7">
              <w:rPr>
                <w:b/>
              </w:rPr>
              <w:t>Надавач платіжних послуг</w:t>
            </w:r>
            <w:r w:rsidRPr="003068B7">
              <w:t xml:space="preserve"> здійснює процедуру відкриття нових рахунків і закриття раніше відкритих рахунків </w:t>
            </w:r>
            <w:r w:rsidRPr="003068B7">
              <w:rPr>
                <w:b/>
              </w:rPr>
              <w:t>користувачів</w:t>
            </w:r>
            <w:r w:rsidRPr="003068B7">
              <w:t xml:space="preserve"> у разі зміни за ініціативою </w:t>
            </w:r>
            <w:r w:rsidRPr="003068B7">
              <w:rPr>
                <w:b/>
              </w:rPr>
              <w:t>надавача платіжних послуг</w:t>
            </w:r>
            <w:r w:rsidRPr="003068B7">
              <w:t xml:space="preserve"> окремих </w:t>
            </w:r>
            <w:r w:rsidRPr="003068B7">
              <w:rPr>
                <w:b/>
              </w:rPr>
              <w:lastRenderedPageBreak/>
              <w:t>реквізитів, необхідних для здійснення платіжних операцій</w:t>
            </w:r>
            <w:r w:rsidRPr="003068B7">
              <w:t xml:space="preserve">: найменування </w:t>
            </w:r>
            <w:r w:rsidRPr="003068B7">
              <w:rPr>
                <w:b/>
              </w:rPr>
              <w:t>надавача платіжних послуг</w:t>
            </w:r>
            <w:r w:rsidRPr="003068B7">
              <w:t xml:space="preserve"> </w:t>
            </w:r>
            <w:r w:rsidRPr="003068B7">
              <w:rPr>
                <w:b/>
              </w:rPr>
              <w:t>та/або</w:t>
            </w:r>
            <w:r w:rsidRPr="003068B7">
              <w:t xml:space="preserve"> номера рахунку.</w:t>
            </w:r>
          </w:p>
        </w:tc>
      </w:tr>
      <w:tr w:rsidR="004243CC" w:rsidRPr="0008679C" w14:paraId="0AAB34B0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402635A4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A91150">
              <w:lastRenderedPageBreak/>
              <w:t xml:space="preserve">     114. Процедура відкриття </w:t>
            </w:r>
            <w:r w:rsidRPr="0061169E">
              <w:rPr>
                <w:u w:val="single"/>
              </w:rPr>
              <w:t>банком</w:t>
            </w:r>
            <w:r w:rsidRPr="00A91150">
              <w:t xml:space="preserve"> нових рахунків і закриття раніше відкритих рахунків </w:t>
            </w:r>
            <w:r w:rsidRPr="0061169E">
              <w:rPr>
                <w:u w:val="single"/>
              </w:rPr>
              <w:t>клієнтів</w:t>
            </w:r>
            <w:r w:rsidRPr="00A91150">
              <w:t xml:space="preserve"> (зміна рахунків) здійснюється в разі:</w:t>
            </w:r>
          </w:p>
          <w:p w14:paraId="14E4AF8B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A91150">
              <w:t xml:space="preserve">     1) </w:t>
            </w:r>
            <w:r w:rsidRPr="00704CE1">
              <w:t>проведення реорганізації в межах одного</w:t>
            </w:r>
            <w:r w:rsidRPr="0061169E">
              <w:rPr>
                <w:u w:val="single"/>
              </w:rPr>
              <w:t xml:space="preserve"> банку</w:t>
            </w:r>
            <w:r w:rsidRPr="00A91150">
              <w:t>;</w:t>
            </w:r>
          </w:p>
          <w:p w14:paraId="242F2E9B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A91150">
              <w:t xml:space="preserve">     </w:t>
            </w:r>
            <w:r w:rsidRPr="00A060B0">
              <w:t>2)</w:t>
            </w:r>
            <w:r w:rsidRPr="00A91150">
              <w:t xml:space="preserve"> проведення реорганізації </w:t>
            </w:r>
            <w:r w:rsidRPr="0061169E">
              <w:rPr>
                <w:u w:val="single"/>
              </w:rPr>
              <w:t>банків</w:t>
            </w:r>
            <w:r w:rsidRPr="00A91150">
              <w:t xml:space="preserve"> шляхом злиття, приєднання, поділу, виділу;</w:t>
            </w:r>
          </w:p>
          <w:p w14:paraId="411BB23F" w14:textId="77777777" w:rsidR="004243CC" w:rsidRPr="00762245" w:rsidRDefault="004243CC" w:rsidP="004243CC">
            <w:pPr>
              <w:pStyle w:val="a4"/>
              <w:spacing w:before="0" w:beforeAutospacing="0" w:after="0" w:afterAutospacing="0"/>
              <w:jc w:val="both"/>
              <w:rPr>
                <w:strike/>
              </w:rPr>
            </w:pPr>
            <w:r w:rsidRPr="00A060B0">
              <w:t xml:space="preserve">     3)</w:t>
            </w:r>
            <w:r w:rsidRPr="00A91150">
              <w:t xml:space="preserve"> зміни порядку бухгалтерського обліку рахунків </w:t>
            </w:r>
            <w:r w:rsidRPr="0061169E">
              <w:rPr>
                <w:u w:val="single"/>
              </w:rPr>
              <w:t>клієнтів</w:t>
            </w:r>
            <w:r w:rsidRPr="00A91150">
              <w:t xml:space="preserve">. </w:t>
            </w:r>
            <w:r w:rsidRPr="00762245">
              <w:rPr>
                <w:strike/>
              </w:rPr>
              <w:t xml:space="preserve">Банк у разі отримання інформації від контролюючих органів про припинення підприємницької діяльності фізичної особи-підприємця та перевірки її в Єдиному державному реєстрі в порядку, визначеному законодавством України, або виявлення банком таких відомостей в Єдиному державному реєстрі закриває поточний рахунок фізичної особи-підприємця, на якому є залишок коштів, та відкриває такій особі поточний рахунок для власних потреб. Залишок коштів із поточного рахунку фізичної особи-підприємця перераховується на відкритий банком або вже діючий у цьому банку поточний рахунок цієї фізичної особи для власних потреб. </w:t>
            </w:r>
            <w:r w:rsidRPr="00762245">
              <w:rPr>
                <w:bCs/>
                <w:strike/>
                <w:shd w:val="clear" w:color="auto" w:fill="FFFFFF"/>
              </w:rPr>
              <w:t>Видаткові операції за поточним рахунком фізичної особи для власних потреб, відкритим банком у порядку, визначеному в підпункті 3 пункту 114 розділу ХІ</w:t>
            </w:r>
            <w:r w:rsidRPr="00762245">
              <w:rPr>
                <w:bCs/>
                <w:strike/>
                <w:shd w:val="clear" w:color="auto" w:fill="FFFFFF"/>
                <w:lang w:val="en-US"/>
              </w:rPr>
              <w:t>V</w:t>
            </w:r>
            <w:r w:rsidRPr="00762245">
              <w:rPr>
                <w:bCs/>
                <w:strike/>
                <w:shd w:val="clear" w:color="auto" w:fill="FFFFFF"/>
              </w:rPr>
              <w:t xml:space="preserve"> цієї Інструкції, здійснюються після звернення фізичної особи до банку, пред’явлення нею документів, що дають змогу банку її  ідентифікувати та </w:t>
            </w:r>
            <w:proofErr w:type="spellStart"/>
            <w:r w:rsidRPr="00762245">
              <w:rPr>
                <w:bCs/>
                <w:strike/>
                <w:shd w:val="clear" w:color="auto" w:fill="FFFFFF"/>
              </w:rPr>
              <w:t>верифікувати</w:t>
            </w:r>
            <w:proofErr w:type="spellEnd"/>
            <w:r w:rsidRPr="00762245">
              <w:rPr>
                <w:bCs/>
                <w:strike/>
                <w:shd w:val="clear" w:color="auto" w:fill="FFFFFF"/>
              </w:rPr>
              <w:t>, і укладення договору банківського рахунку</w:t>
            </w:r>
            <w:r w:rsidRPr="00762245">
              <w:rPr>
                <w:strike/>
              </w:rPr>
              <w:t>.</w:t>
            </w:r>
          </w:p>
          <w:p w14:paraId="5E91EEBB" w14:textId="77777777" w:rsidR="004243CC" w:rsidRPr="00A91150" w:rsidRDefault="004243CC" w:rsidP="004243CC">
            <w:pPr>
              <w:jc w:val="both"/>
            </w:pPr>
          </w:p>
        </w:tc>
        <w:tc>
          <w:tcPr>
            <w:tcW w:w="7654" w:type="dxa"/>
            <w:shd w:val="clear" w:color="auto" w:fill="auto"/>
          </w:tcPr>
          <w:p w14:paraId="1F805F97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114. Процедура відкриття </w:t>
            </w:r>
            <w:r w:rsidRPr="003068B7">
              <w:rPr>
                <w:b/>
              </w:rPr>
              <w:t>надавачем платіжних послуг</w:t>
            </w:r>
            <w:r w:rsidRPr="003068B7">
              <w:t xml:space="preserve"> нових рахунків і закриття раніше відкритих рахунків </w:t>
            </w:r>
            <w:r w:rsidRPr="003068B7">
              <w:rPr>
                <w:b/>
              </w:rPr>
              <w:t>користувачів</w:t>
            </w:r>
            <w:r w:rsidRPr="003068B7">
              <w:t xml:space="preserve"> (зміна рахунків) здійснюється в разі:</w:t>
            </w:r>
          </w:p>
          <w:p w14:paraId="1ADFEDAA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1) проведення реорганізації </w:t>
            </w:r>
            <w:r w:rsidRPr="003068B7">
              <w:rPr>
                <w:b/>
              </w:rPr>
              <w:t>або перенесення обслуговування рахунків</w:t>
            </w:r>
            <w:r w:rsidRPr="003068B7">
              <w:t xml:space="preserve"> в межах </w:t>
            </w:r>
            <w:r w:rsidRPr="000E6E3C">
              <w:t xml:space="preserve">одного </w:t>
            </w:r>
            <w:r w:rsidRPr="000E6E3C">
              <w:rPr>
                <w:b/>
              </w:rPr>
              <w:t>надавача платіжних послуг</w:t>
            </w:r>
            <w:r w:rsidRPr="003068B7">
              <w:t>;</w:t>
            </w:r>
          </w:p>
          <w:p w14:paraId="1BAD4304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rPr>
                <w:lang w:val="ru-RU"/>
              </w:rPr>
              <w:t xml:space="preserve">     2</w:t>
            </w:r>
            <w:r w:rsidRPr="003068B7">
              <w:t xml:space="preserve">) проведення реорганізації </w:t>
            </w:r>
            <w:r w:rsidRPr="003068B7">
              <w:rPr>
                <w:b/>
              </w:rPr>
              <w:t>надавача платіжних послуг</w:t>
            </w:r>
            <w:r w:rsidRPr="003068B7">
              <w:t xml:space="preserve"> шляхом злиття, приєднання, поділу, виділу;</w:t>
            </w:r>
          </w:p>
          <w:p w14:paraId="60F0A307" w14:textId="0C1A0384" w:rsidR="004243CC" w:rsidRPr="003068B7" w:rsidRDefault="004243CC" w:rsidP="00762245">
            <w:pPr>
              <w:pStyle w:val="a4"/>
              <w:spacing w:before="0" w:beforeAutospacing="0" w:after="0" w:afterAutospacing="0"/>
              <w:jc w:val="both"/>
              <w:rPr>
                <w:b/>
                <w:strike/>
              </w:rPr>
            </w:pPr>
            <w:r w:rsidRPr="003068B7">
              <w:t xml:space="preserve">     </w:t>
            </w:r>
            <w:r w:rsidRPr="003068B7">
              <w:rPr>
                <w:lang w:val="ru-RU"/>
              </w:rPr>
              <w:t>3</w:t>
            </w:r>
            <w:r w:rsidRPr="003068B7">
              <w:t xml:space="preserve">) зміни порядку бухгалтерського обліку рахунків </w:t>
            </w:r>
            <w:r w:rsidRPr="003068B7">
              <w:rPr>
                <w:b/>
              </w:rPr>
              <w:t>користувачів</w:t>
            </w:r>
            <w:r w:rsidRPr="003068B7">
              <w:t xml:space="preserve">. </w:t>
            </w:r>
          </w:p>
        </w:tc>
      </w:tr>
      <w:tr w:rsidR="00762245" w:rsidRPr="0008679C" w14:paraId="38212306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4FDCF6DF" w14:textId="77777777" w:rsidR="00762245" w:rsidRPr="00A91150" w:rsidRDefault="00762245" w:rsidP="004243C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654" w:type="dxa"/>
            <w:shd w:val="clear" w:color="auto" w:fill="auto"/>
          </w:tcPr>
          <w:p w14:paraId="2783614E" w14:textId="01C65D38" w:rsidR="00762245" w:rsidRPr="003068B7" w:rsidRDefault="00762245" w:rsidP="00762245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068B7">
              <w:rPr>
                <w:b/>
              </w:rPr>
              <w:t xml:space="preserve">     114</w:t>
            </w:r>
            <w:r w:rsidRPr="003068B7">
              <w:rPr>
                <w:b/>
                <w:vertAlign w:val="superscript"/>
              </w:rPr>
              <w:t>1</w:t>
            </w:r>
            <w:r w:rsidRPr="003068B7">
              <w:rPr>
                <w:b/>
              </w:rPr>
              <w:t xml:space="preserve">. Надавач платіжних послуг у випадку, визначеному підпунктом </w:t>
            </w:r>
            <w:r w:rsidRPr="003068B7">
              <w:rPr>
                <w:b/>
                <w:bCs/>
                <w:shd w:val="clear" w:color="auto" w:fill="FFFFFF"/>
              </w:rPr>
              <w:t>3 пункту 114 розділу ХІ</w:t>
            </w:r>
            <w:r w:rsidRPr="003068B7">
              <w:rPr>
                <w:b/>
                <w:bCs/>
                <w:shd w:val="clear" w:color="auto" w:fill="FFFFFF"/>
                <w:lang w:val="en-US"/>
              </w:rPr>
              <w:t>V</w:t>
            </w:r>
            <w:r w:rsidRPr="003068B7">
              <w:rPr>
                <w:b/>
                <w:bCs/>
                <w:shd w:val="clear" w:color="auto" w:fill="FFFFFF"/>
              </w:rPr>
              <w:t xml:space="preserve"> цієї Інструкції</w:t>
            </w:r>
            <w:r w:rsidRPr="003068B7">
              <w:rPr>
                <w:b/>
              </w:rPr>
              <w:t xml:space="preserve">, після отримання інформації від контролюючих органів про припинення підприємницької діяльності фізичної особи-підприємця та перевірки її в Єдиному державному реєстрі в порядку, визначеному законодавством України, або виявлення надавачем платіжних послуг таких відомостей в Єдиному державному реєстрі закриває поточний/платіжний рахунок фізичної особи-підприємця, на якому </w:t>
            </w:r>
            <w:r w:rsidRPr="003068B7">
              <w:rPr>
                <w:b/>
              </w:rPr>
              <w:lastRenderedPageBreak/>
              <w:t xml:space="preserve">є залишок коштів, та відкриває такій особі поточний/платіжний рахунок для власних потреб. </w:t>
            </w:r>
          </w:p>
          <w:p w14:paraId="7638B69D" w14:textId="09B0F540" w:rsidR="00762245" w:rsidRPr="003068B7" w:rsidRDefault="00762245" w:rsidP="00762245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068B7">
              <w:rPr>
                <w:b/>
              </w:rPr>
              <w:t xml:space="preserve">     Залишок коштів із поточного/платіжного рахунку фізичної особи-підприємця перераховується на відкритий надавачем платіжних послуг або вже діючий у цього надавача платіжних послуг поточний/платіжний рахунок цієї фізичної особи для власних потреб з урахуванням вимог валютного законодавства. </w:t>
            </w:r>
          </w:p>
          <w:p w14:paraId="6AF79BCE" w14:textId="1E0E0614" w:rsidR="00762245" w:rsidRPr="003068B7" w:rsidRDefault="00762245" w:rsidP="0097008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068B7">
              <w:rPr>
                <w:b/>
                <w:bCs/>
                <w:shd w:val="clear" w:color="auto" w:fill="FFFFFF"/>
              </w:rPr>
              <w:t xml:space="preserve">     Видаткові операції за поточним/платіжним рахунком фізичної особи для власних потреб, відкритим надавачем платіжних послуг у </w:t>
            </w:r>
            <w:r w:rsidR="0097008C">
              <w:rPr>
                <w:b/>
                <w:bCs/>
                <w:shd w:val="clear" w:color="auto" w:fill="FFFFFF"/>
              </w:rPr>
              <w:t>випадку</w:t>
            </w:r>
            <w:bookmarkStart w:id="0" w:name="_GoBack"/>
            <w:bookmarkEnd w:id="0"/>
            <w:r w:rsidRPr="003068B7">
              <w:rPr>
                <w:b/>
                <w:bCs/>
                <w:shd w:val="clear" w:color="auto" w:fill="FFFFFF"/>
              </w:rPr>
              <w:t>, визначеному в підпункті 3 пункту 114 розділу ХІ</w:t>
            </w:r>
            <w:r w:rsidRPr="003068B7">
              <w:rPr>
                <w:b/>
                <w:bCs/>
                <w:shd w:val="clear" w:color="auto" w:fill="FFFFFF"/>
                <w:lang w:val="en-US"/>
              </w:rPr>
              <w:t>V</w:t>
            </w:r>
            <w:r w:rsidRPr="003068B7">
              <w:rPr>
                <w:b/>
                <w:bCs/>
                <w:shd w:val="clear" w:color="auto" w:fill="FFFFFF"/>
              </w:rPr>
              <w:t xml:space="preserve"> цієї Інструкції, здійснюються після звернення фізичної особи до надавача платіжних послуг, пред’явлення нею документів, що дають змогу надавачу платіжних послуг її  ідентифікувати та </w:t>
            </w:r>
            <w:proofErr w:type="spellStart"/>
            <w:r w:rsidRPr="003068B7">
              <w:rPr>
                <w:b/>
                <w:bCs/>
                <w:shd w:val="clear" w:color="auto" w:fill="FFFFFF"/>
              </w:rPr>
              <w:t>верифікувати</w:t>
            </w:r>
            <w:proofErr w:type="spellEnd"/>
            <w:r w:rsidRPr="003068B7">
              <w:rPr>
                <w:b/>
                <w:bCs/>
                <w:shd w:val="clear" w:color="auto" w:fill="FFFFFF"/>
              </w:rPr>
              <w:t>, і укладення договору банківського рахунку/договору платіжного рахунку</w:t>
            </w:r>
            <w:r w:rsidRPr="003068B7">
              <w:rPr>
                <w:b/>
              </w:rPr>
              <w:t>.</w:t>
            </w:r>
          </w:p>
        </w:tc>
      </w:tr>
      <w:tr w:rsidR="004243CC" w:rsidRPr="0008679C" w14:paraId="497F5D77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6511020D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4A2244">
              <w:lastRenderedPageBreak/>
              <w:t xml:space="preserve">     </w:t>
            </w:r>
            <w:r w:rsidRPr="00A91150">
              <w:t xml:space="preserve">115. </w:t>
            </w:r>
            <w:r w:rsidRPr="00B71514">
              <w:rPr>
                <w:u w:val="single"/>
              </w:rPr>
              <w:t>Банк</w:t>
            </w:r>
            <w:r w:rsidRPr="00A91150">
              <w:t xml:space="preserve"> </w:t>
            </w:r>
            <w:proofErr w:type="spellStart"/>
            <w:r w:rsidRPr="00A91150">
              <w:t>зобовʼязаний</w:t>
            </w:r>
            <w:proofErr w:type="spellEnd"/>
            <w:r w:rsidRPr="00A91150">
              <w:t xml:space="preserve"> завчасно повідомити всіх </w:t>
            </w:r>
            <w:r w:rsidRPr="00B71514">
              <w:rPr>
                <w:u w:val="single"/>
              </w:rPr>
              <w:t>клієнтів</w:t>
            </w:r>
            <w:r w:rsidRPr="00A91150">
              <w:t xml:space="preserve"> про зміну рахунків у порядку, установленому внутрішніми документами </w:t>
            </w:r>
            <w:r w:rsidRPr="00B71514">
              <w:rPr>
                <w:u w:val="single"/>
              </w:rPr>
              <w:t>банку</w:t>
            </w:r>
            <w:r w:rsidRPr="00A91150">
              <w:t>.</w:t>
            </w:r>
          </w:p>
          <w:p w14:paraId="58889CD0" w14:textId="77777777" w:rsidR="004243CC" w:rsidRPr="00A91150" w:rsidRDefault="004243CC" w:rsidP="004243CC">
            <w:pPr>
              <w:tabs>
                <w:tab w:val="left" w:pos="1632"/>
              </w:tabs>
              <w:jc w:val="both"/>
            </w:pPr>
          </w:p>
        </w:tc>
        <w:tc>
          <w:tcPr>
            <w:tcW w:w="7654" w:type="dxa"/>
            <w:shd w:val="clear" w:color="auto" w:fill="auto"/>
          </w:tcPr>
          <w:p w14:paraId="0BF4CD94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rPr>
                <w:lang w:val="ru-RU"/>
              </w:rPr>
              <w:t xml:space="preserve">     </w:t>
            </w:r>
            <w:r w:rsidRPr="003068B7">
              <w:t xml:space="preserve">115. </w:t>
            </w:r>
            <w:r w:rsidRPr="003068B7">
              <w:rPr>
                <w:b/>
              </w:rPr>
              <w:t>Надавач платіжних послуг</w:t>
            </w:r>
            <w:r w:rsidRPr="003068B7">
              <w:t xml:space="preserve"> </w:t>
            </w:r>
            <w:proofErr w:type="spellStart"/>
            <w:r w:rsidRPr="003068B7">
              <w:t>зобовʼязаний</w:t>
            </w:r>
            <w:proofErr w:type="spellEnd"/>
            <w:r w:rsidRPr="003068B7">
              <w:t xml:space="preserve"> завчасно повідомити всіх </w:t>
            </w:r>
            <w:r w:rsidRPr="003068B7">
              <w:rPr>
                <w:b/>
              </w:rPr>
              <w:t>користувачів</w:t>
            </w:r>
            <w:r w:rsidRPr="003068B7">
              <w:t xml:space="preserve"> про зміну рахунків у порядку, установленому внутрішніми документами </w:t>
            </w:r>
            <w:r w:rsidRPr="003068B7">
              <w:rPr>
                <w:b/>
              </w:rPr>
              <w:t>надавача платіжних послуг</w:t>
            </w:r>
            <w:r w:rsidRPr="003068B7">
              <w:t>.</w:t>
            </w:r>
          </w:p>
        </w:tc>
      </w:tr>
      <w:tr w:rsidR="004243CC" w:rsidRPr="0008679C" w14:paraId="32601A2F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363168A3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>
              <w:t xml:space="preserve">     </w:t>
            </w:r>
            <w:r w:rsidRPr="00A91150">
              <w:t xml:space="preserve">116. Додаткові документи в разі зміни рахунків </w:t>
            </w:r>
            <w:r w:rsidRPr="00B71514">
              <w:rPr>
                <w:u w:val="single"/>
              </w:rPr>
              <w:t>клієнтів</w:t>
            </w:r>
            <w:r w:rsidRPr="00A91150">
              <w:t xml:space="preserve"> не подаються </w:t>
            </w:r>
            <w:r w:rsidRPr="00B71514">
              <w:rPr>
                <w:u w:val="single"/>
              </w:rPr>
              <w:t>клієнтами</w:t>
            </w:r>
            <w:r w:rsidRPr="00A91150">
              <w:t xml:space="preserve">. Наявні документи передаються за потреби іншому </w:t>
            </w:r>
            <w:r w:rsidRPr="00B2203C">
              <w:rPr>
                <w:u w:val="single"/>
              </w:rPr>
              <w:t>банку</w:t>
            </w:r>
            <w:r w:rsidRPr="00A91150">
              <w:t xml:space="preserve"> (установі цього </w:t>
            </w:r>
            <w:r w:rsidRPr="00B2203C">
              <w:rPr>
                <w:u w:val="single"/>
              </w:rPr>
              <w:t>банку</w:t>
            </w:r>
            <w:r w:rsidRPr="00A91150">
              <w:t>) за передавальним актом.</w:t>
            </w:r>
          </w:p>
          <w:p w14:paraId="2087F6DB" w14:textId="77777777" w:rsidR="004243CC" w:rsidRPr="00A91150" w:rsidRDefault="004243CC" w:rsidP="004243CC">
            <w:pPr>
              <w:jc w:val="both"/>
            </w:pPr>
          </w:p>
        </w:tc>
        <w:tc>
          <w:tcPr>
            <w:tcW w:w="7654" w:type="dxa"/>
            <w:shd w:val="clear" w:color="auto" w:fill="auto"/>
          </w:tcPr>
          <w:p w14:paraId="1B15E788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116. Додаткові документи в разі зміни рахунків </w:t>
            </w:r>
            <w:r w:rsidRPr="003068B7">
              <w:rPr>
                <w:b/>
              </w:rPr>
              <w:t xml:space="preserve">користувачів </w:t>
            </w:r>
            <w:r w:rsidRPr="003068B7">
              <w:t xml:space="preserve">не подаються </w:t>
            </w:r>
            <w:r w:rsidRPr="003068B7">
              <w:rPr>
                <w:b/>
              </w:rPr>
              <w:t>користувачами</w:t>
            </w:r>
            <w:r w:rsidRPr="003068B7">
              <w:t xml:space="preserve">. Наявні документи передаються за потреби іншому </w:t>
            </w:r>
            <w:r w:rsidRPr="003068B7">
              <w:rPr>
                <w:b/>
              </w:rPr>
              <w:t>надавачу платіжних послуг</w:t>
            </w:r>
            <w:r w:rsidRPr="003068B7">
              <w:t xml:space="preserve"> (установі цього </w:t>
            </w:r>
            <w:r w:rsidRPr="003068B7">
              <w:rPr>
                <w:b/>
              </w:rPr>
              <w:t>надавача платіжних послуг</w:t>
            </w:r>
            <w:r w:rsidRPr="003068B7">
              <w:t>) за передавальним актом.</w:t>
            </w:r>
          </w:p>
        </w:tc>
      </w:tr>
      <w:tr w:rsidR="004243CC" w:rsidRPr="0008679C" w14:paraId="56DDC22F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2BD94562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>
              <w:t xml:space="preserve">     </w:t>
            </w:r>
            <w:r w:rsidRPr="00A91150">
              <w:t xml:space="preserve">117. </w:t>
            </w:r>
            <w:r w:rsidRPr="00B71514">
              <w:rPr>
                <w:u w:val="single"/>
              </w:rPr>
              <w:t>Банк</w:t>
            </w:r>
            <w:r w:rsidRPr="00A91150">
              <w:t xml:space="preserve"> </w:t>
            </w:r>
            <w:proofErr w:type="spellStart"/>
            <w:r w:rsidRPr="00A91150">
              <w:t>зобовʼязаний</w:t>
            </w:r>
            <w:proofErr w:type="spellEnd"/>
            <w:r w:rsidRPr="00A91150">
              <w:t xml:space="preserve"> в установленому законодавством України порядку надіслати повідомлення до відповідного контролюючого органу про відкриття/закриття рахунку </w:t>
            </w:r>
            <w:r w:rsidRPr="00B71514">
              <w:rPr>
                <w:u w:val="single"/>
              </w:rPr>
              <w:t>клієнта</w:t>
            </w:r>
            <w:r w:rsidRPr="00A91150">
              <w:t xml:space="preserve"> – платника податків згідно з вимогами статті 69 Податкового кодексу України.</w:t>
            </w:r>
          </w:p>
        </w:tc>
        <w:tc>
          <w:tcPr>
            <w:tcW w:w="7654" w:type="dxa"/>
            <w:shd w:val="clear" w:color="auto" w:fill="auto"/>
          </w:tcPr>
          <w:p w14:paraId="49477EF1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117. </w:t>
            </w:r>
            <w:r w:rsidRPr="003068B7">
              <w:rPr>
                <w:b/>
              </w:rPr>
              <w:t>Надавач платіжних послуг</w:t>
            </w:r>
            <w:r w:rsidRPr="003068B7">
              <w:t xml:space="preserve"> </w:t>
            </w:r>
            <w:proofErr w:type="spellStart"/>
            <w:r w:rsidRPr="003068B7">
              <w:t>зобовʼязаний</w:t>
            </w:r>
            <w:proofErr w:type="spellEnd"/>
            <w:r w:rsidRPr="003068B7">
              <w:t xml:space="preserve"> в установленому законодавством України порядку надіслати повідомлення до відповідного контролюючого органу про відкриття/закриття рахунку </w:t>
            </w:r>
            <w:r w:rsidRPr="003068B7">
              <w:rPr>
                <w:b/>
              </w:rPr>
              <w:t>користувача</w:t>
            </w:r>
            <w:r w:rsidRPr="003068B7">
              <w:t xml:space="preserve"> – платника податків згідно з вимогами статті 69 Податкового кодексу України.</w:t>
            </w:r>
          </w:p>
        </w:tc>
      </w:tr>
      <w:tr w:rsidR="004243CC" w:rsidRPr="0008679C" w14:paraId="74372EE9" w14:textId="77777777" w:rsidTr="00286848">
        <w:trPr>
          <w:trHeight w:val="2400"/>
        </w:trPr>
        <w:tc>
          <w:tcPr>
            <w:tcW w:w="7542" w:type="dxa"/>
            <w:shd w:val="clear" w:color="auto" w:fill="auto"/>
          </w:tcPr>
          <w:p w14:paraId="146F6EBA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     </w:t>
            </w:r>
            <w:r w:rsidRPr="00A91150">
              <w:t xml:space="preserve">119. Банк не здійснює зміну рахунків клієнтів у разі зміни найменування банку, яка не </w:t>
            </w:r>
            <w:proofErr w:type="spellStart"/>
            <w:r w:rsidRPr="00A91150">
              <w:t>повʼязана</w:t>
            </w:r>
            <w:proofErr w:type="spellEnd"/>
            <w:r w:rsidRPr="00A91150">
              <w:t xml:space="preserve"> з його реорганізацією, а також у разі зміни найменування банку у </w:t>
            </w:r>
            <w:proofErr w:type="spellStart"/>
            <w:r w:rsidRPr="00A91150">
              <w:t>звʼязку</w:t>
            </w:r>
            <w:proofErr w:type="spellEnd"/>
            <w:r w:rsidRPr="00A91150">
              <w:t xml:space="preserve"> з проведенням його реорганізації шляхом перетворення.</w:t>
            </w:r>
          </w:p>
          <w:p w14:paraId="11F78D65" w14:textId="77777777" w:rsidR="004243CC" w:rsidRDefault="004243CC" w:rsidP="004243CC">
            <w:pPr>
              <w:pStyle w:val="a4"/>
              <w:spacing w:before="0" w:beforeAutospacing="0" w:after="0" w:afterAutospacing="0"/>
              <w:jc w:val="both"/>
            </w:pPr>
            <w:r>
              <w:t xml:space="preserve">     </w:t>
            </w:r>
          </w:p>
          <w:p w14:paraId="60F81B87" w14:textId="77777777" w:rsidR="004243CC" w:rsidRDefault="004243CC" w:rsidP="004243CC">
            <w:pPr>
              <w:pStyle w:val="a4"/>
              <w:spacing w:before="0" w:beforeAutospacing="0" w:after="0" w:afterAutospacing="0"/>
              <w:jc w:val="both"/>
            </w:pPr>
          </w:p>
          <w:p w14:paraId="294500F5" w14:textId="77777777" w:rsidR="004243CC" w:rsidRDefault="004243CC" w:rsidP="004243CC">
            <w:pPr>
              <w:pStyle w:val="a4"/>
              <w:spacing w:before="0" w:beforeAutospacing="0" w:after="0" w:afterAutospacing="0"/>
              <w:jc w:val="both"/>
            </w:pPr>
          </w:p>
          <w:p w14:paraId="57427498" w14:textId="77777777" w:rsidR="004243CC" w:rsidRDefault="004243CC" w:rsidP="004243CC">
            <w:pPr>
              <w:pStyle w:val="a4"/>
              <w:spacing w:before="0" w:beforeAutospacing="0" w:after="0" w:afterAutospacing="0"/>
              <w:jc w:val="both"/>
            </w:pPr>
          </w:p>
          <w:p w14:paraId="2B7FD0E6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>
              <w:t xml:space="preserve">     </w:t>
            </w:r>
            <w:r w:rsidRPr="00B71514">
              <w:rPr>
                <w:u w:val="single"/>
              </w:rPr>
              <w:t>Банк</w:t>
            </w:r>
            <w:r w:rsidRPr="00A91150">
              <w:t xml:space="preserve"> у зазначених випадках:</w:t>
            </w:r>
          </w:p>
          <w:p w14:paraId="617DCDB0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>
              <w:t xml:space="preserve">     </w:t>
            </w:r>
            <w:r w:rsidRPr="00A91150">
              <w:t xml:space="preserve">1) </w:t>
            </w:r>
            <w:proofErr w:type="spellStart"/>
            <w:r w:rsidRPr="00A91150">
              <w:t>зобовʼязаний</w:t>
            </w:r>
            <w:proofErr w:type="spellEnd"/>
            <w:r w:rsidRPr="00A91150">
              <w:t xml:space="preserve"> завчасно повідомити всіх </w:t>
            </w:r>
            <w:r w:rsidRPr="00B71514">
              <w:rPr>
                <w:u w:val="single"/>
              </w:rPr>
              <w:t>клієнтів</w:t>
            </w:r>
            <w:r w:rsidRPr="00A91150">
              <w:t xml:space="preserve"> про зміну свого найменування;</w:t>
            </w:r>
          </w:p>
          <w:p w14:paraId="3248B361" w14:textId="77777777" w:rsidR="004243CC" w:rsidRPr="00A91150" w:rsidRDefault="004243CC" w:rsidP="004243CC">
            <w:pPr>
              <w:pStyle w:val="a4"/>
              <w:spacing w:before="0" w:beforeAutospacing="0" w:after="0" w:afterAutospacing="0"/>
              <w:jc w:val="both"/>
            </w:pPr>
            <w:r>
              <w:t xml:space="preserve">     </w:t>
            </w:r>
            <w:r w:rsidRPr="00A91150">
              <w:t xml:space="preserve">2) не вимагає від </w:t>
            </w:r>
            <w:r w:rsidRPr="00B71514">
              <w:rPr>
                <w:u w:val="single"/>
              </w:rPr>
              <w:t>клієнта</w:t>
            </w:r>
            <w:r w:rsidRPr="00A91150">
              <w:t xml:space="preserve"> надання додаткових документів, передбачених цією Інструкцією для відкриття рахунків.</w:t>
            </w:r>
          </w:p>
        </w:tc>
        <w:tc>
          <w:tcPr>
            <w:tcW w:w="7654" w:type="dxa"/>
            <w:shd w:val="clear" w:color="auto" w:fill="auto"/>
          </w:tcPr>
          <w:p w14:paraId="2A164CEF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119. Банк не здійснює зміну рахунків клієнтів у разі зміни найменування банку, яка не </w:t>
            </w:r>
            <w:proofErr w:type="spellStart"/>
            <w:r w:rsidRPr="003068B7">
              <w:t>повʼязана</w:t>
            </w:r>
            <w:proofErr w:type="spellEnd"/>
            <w:r w:rsidRPr="003068B7">
              <w:t xml:space="preserve"> з його реорганізацією, а також у разі зміни найменування банку у </w:t>
            </w:r>
            <w:proofErr w:type="spellStart"/>
            <w:r w:rsidRPr="003068B7">
              <w:t>звʼязку</w:t>
            </w:r>
            <w:proofErr w:type="spellEnd"/>
            <w:r w:rsidRPr="003068B7">
              <w:t xml:space="preserve"> з проведенням його реорганізації шляхом перетворення.</w:t>
            </w:r>
          </w:p>
          <w:p w14:paraId="3492253F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068B7">
              <w:rPr>
                <w:shd w:val="clear" w:color="auto" w:fill="FFFFFF"/>
              </w:rPr>
              <w:t xml:space="preserve">     </w:t>
            </w:r>
            <w:r w:rsidRPr="003068B7">
              <w:rPr>
                <w:b/>
                <w:shd w:val="clear" w:color="auto" w:fill="FFFFFF"/>
              </w:rPr>
              <w:t xml:space="preserve">Небанківських надавач платіжних послуг </w:t>
            </w:r>
            <w:r w:rsidRPr="003068B7">
              <w:rPr>
                <w:b/>
              </w:rPr>
              <w:t xml:space="preserve">не здійснює зміну рахунків користувачів у разі зміни найменування небанківського надавача платіжних послуг у </w:t>
            </w:r>
            <w:proofErr w:type="spellStart"/>
            <w:r w:rsidRPr="003068B7">
              <w:rPr>
                <w:b/>
              </w:rPr>
              <w:t>звʼязку</w:t>
            </w:r>
            <w:proofErr w:type="spellEnd"/>
            <w:r w:rsidRPr="003068B7">
              <w:rPr>
                <w:b/>
              </w:rPr>
              <w:t xml:space="preserve"> з проведенням його реорганізації шляхом перетворення.</w:t>
            </w:r>
          </w:p>
          <w:p w14:paraId="65ABB31B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</w:t>
            </w:r>
            <w:r w:rsidRPr="003068B7">
              <w:rPr>
                <w:b/>
              </w:rPr>
              <w:t>Надавач платіжних послуг</w:t>
            </w:r>
            <w:r w:rsidRPr="003068B7">
              <w:t xml:space="preserve"> у зазначених випадках:</w:t>
            </w:r>
          </w:p>
          <w:p w14:paraId="07030F1E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1) </w:t>
            </w:r>
            <w:proofErr w:type="spellStart"/>
            <w:r w:rsidRPr="003068B7">
              <w:t>зобовʼязаний</w:t>
            </w:r>
            <w:proofErr w:type="spellEnd"/>
            <w:r w:rsidRPr="003068B7">
              <w:t xml:space="preserve"> завчасно повідомити всіх </w:t>
            </w:r>
            <w:r w:rsidRPr="003068B7">
              <w:rPr>
                <w:b/>
              </w:rPr>
              <w:t>користувачів</w:t>
            </w:r>
            <w:r w:rsidRPr="003068B7">
              <w:t xml:space="preserve"> про зміну свого найменування;</w:t>
            </w:r>
          </w:p>
          <w:p w14:paraId="1B67B27D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both"/>
            </w:pPr>
            <w:r w:rsidRPr="003068B7">
              <w:t xml:space="preserve">     2) не вимагає від </w:t>
            </w:r>
            <w:r w:rsidRPr="003068B7">
              <w:rPr>
                <w:b/>
              </w:rPr>
              <w:t>користувача</w:t>
            </w:r>
            <w:r w:rsidRPr="003068B7">
              <w:t xml:space="preserve"> надання додаткових документів, передбачених цією Інструкцією для відкриття рахунків.</w:t>
            </w:r>
          </w:p>
        </w:tc>
      </w:tr>
      <w:tr w:rsidR="004243CC" w:rsidRPr="0008679C" w14:paraId="176F2BA6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040FA81E" w14:textId="77777777" w:rsidR="004243CC" w:rsidRPr="00EA2564" w:rsidRDefault="004243CC" w:rsidP="004243CC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EA2564">
              <w:rPr>
                <w:b/>
              </w:rPr>
              <w:t xml:space="preserve">Розділ </w:t>
            </w:r>
            <w:r w:rsidRPr="00EA2564">
              <w:rPr>
                <w:b/>
                <w:lang w:val="en-US"/>
              </w:rPr>
              <w:t>XV</w:t>
            </w:r>
          </w:p>
        </w:tc>
        <w:tc>
          <w:tcPr>
            <w:tcW w:w="7654" w:type="dxa"/>
            <w:shd w:val="clear" w:color="auto" w:fill="auto"/>
          </w:tcPr>
          <w:p w14:paraId="67B149F5" w14:textId="77777777" w:rsidR="004243CC" w:rsidRPr="003068B7" w:rsidRDefault="004243CC" w:rsidP="004243CC">
            <w:pPr>
              <w:pStyle w:val="a4"/>
              <w:spacing w:before="0" w:beforeAutospacing="0" w:after="0" w:afterAutospacing="0"/>
              <w:jc w:val="center"/>
            </w:pPr>
            <w:r w:rsidRPr="003068B7">
              <w:rPr>
                <w:b/>
              </w:rPr>
              <w:t xml:space="preserve">Розділ </w:t>
            </w:r>
            <w:r w:rsidRPr="003068B7">
              <w:rPr>
                <w:b/>
                <w:lang w:val="en-US"/>
              </w:rPr>
              <w:t>XV</w:t>
            </w:r>
          </w:p>
        </w:tc>
      </w:tr>
      <w:tr w:rsidR="004243CC" w:rsidRPr="0008679C" w14:paraId="4EB75C3A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1EEA4B82" w14:textId="77777777" w:rsidR="004243CC" w:rsidRPr="00BA10FE" w:rsidRDefault="004243CC" w:rsidP="004243CC">
            <w:pPr>
              <w:jc w:val="both"/>
            </w:pPr>
            <w:r w:rsidRPr="00EA2564">
              <w:t xml:space="preserve">     </w:t>
            </w:r>
            <w:r w:rsidRPr="00BA10FE">
              <w:t>124. Надавач платіжних послуг закриває поточний/платіжний рахунок юридичної особи-резидента, фізичної особи-підприємця (якщо немає залишку коштів на рахунку) на підставі інформації, отриманої від контролюючих органів</w:t>
            </w:r>
            <w:r>
              <w:t>,</w:t>
            </w:r>
            <w:r w:rsidRPr="00BA10FE">
              <w:t xml:space="preserve"> та перевірки її в Єдиному державному реєстрі </w:t>
            </w:r>
            <w:r>
              <w:t>в</w:t>
            </w:r>
            <w:r w:rsidRPr="00BA10FE">
              <w:t xml:space="preserve"> порядку, визначеному законодавством України, про державну реєстрацію припинення юридичної особи/підприємницької діяльності фізичної особи-підприємця або самостійного виявлення таких відомостей в Єдиному державному реєстрі. </w:t>
            </w:r>
          </w:p>
          <w:p w14:paraId="1D5F89A7" w14:textId="77777777" w:rsidR="004243CC" w:rsidRPr="00BA10FE" w:rsidRDefault="004243CC" w:rsidP="004243CC">
            <w:pPr>
              <w:jc w:val="both"/>
            </w:pPr>
            <w:r w:rsidRPr="00EA2564">
              <w:t xml:space="preserve">     </w:t>
            </w:r>
            <w:r w:rsidRPr="00BA10FE">
              <w:t>Банк закриває поточний рахунок юридичної особи-резидента, що ліквідувалася (якщо є залишок коштів на рахунку)</w:t>
            </w:r>
            <w:r>
              <w:t>,</w:t>
            </w:r>
            <w:r w:rsidRPr="00BA10FE">
              <w:t xml:space="preserve"> у порядку, передбаченому </w:t>
            </w:r>
            <w:r>
              <w:t xml:space="preserve">в </w:t>
            </w:r>
            <w:r w:rsidRPr="00BA10FE">
              <w:t>абзац</w:t>
            </w:r>
            <w:r>
              <w:t>і</w:t>
            </w:r>
            <w:r w:rsidRPr="00BA10FE">
              <w:t xml:space="preserve"> перш</w:t>
            </w:r>
            <w:r>
              <w:t>ому</w:t>
            </w:r>
            <w:r w:rsidRPr="00BA10FE">
              <w:t xml:space="preserve"> пункту 124 розділу Х</w:t>
            </w:r>
            <w:r w:rsidRPr="00BA10FE">
              <w:rPr>
                <w:lang w:val="en-US"/>
              </w:rPr>
              <w:t>V</w:t>
            </w:r>
            <w:r w:rsidRPr="00BA10FE">
              <w:t xml:space="preserve"> цієї Інструкції, а залишок коштів перераховує на балансовий рахунок для обліку коштів за недіючими рахунками.</w:t>
            </w:r>
          </w:p>
          <w:p w14:paraId="753093D2" w14:textId="77777777" w:rsidR="004243CC" w:rsidRPr="00BA10FE" w:rsidRDefault="004243CC" w:rsidP="004243CC">
            <w:pPr>
              <w:jc w:val="both"/>
            </w:pPr>
            <w:r w:rsidRPr="00EA2564">
              <w:t xml:space="preserve">     </w:t>
            </w:r>
            <w:r w:rsidRPr="00BA10FE">
              <w:t>Небанківський надавач платіжних послуг у випадку, визначеному в абзаці другому пункту 124 розділу Х</w:t>
            </w:r>
            <w:r w:rsidRPr="00BA10FE">
              <w:rPr>
                <w:lang w:val="en-US"/>
              </w:rPr>
              <w:t>V</w:t>
            </w:r>
            <w:r w:rsidRPr="00BA10FE">
              <w:t xml:space="preserve"> цієї Інструкції, обліковує залишок коштів, перерахованих з </w:t>
            </w:r>
            <w:r>
              <w:t>платіжного</w:t>
            </w:r>
            <w:r w:rsidRPr="00BA10FE">
              <w:t xml:space="preserve"> рахунку</w:t>
            </w:r>
            <w:r>
              <w:t>,</w:t>
            </w:r>
            <w:r w:rsidRPr="00BA10FE">
              <w:t xml:space="preserve"> </w:t>
            </w:r>
            <w:r>
              <w:t>в</w:t>
            </w:r>
            <w:r w:rsidRPr="00BA10FE">
              <w:t xml:space="preserve"> порядку, визначеному його внутрішніми документами.</w:t>
            </w:r>
          </w:p>
          <w:p w14:paraId="63A3DC6B" w14:textId="77777777" w:rsidR="004243CC" w:rsidRPr="00EA2564" w:rsidRDefault="004243CC" w:rsidP="004243CC">
            <w:pPr>
              <w:jc w:val="both"/>
              <w:rPr>
                <w:strike/>
              </w:rPr>
            </w:pPr>
            <w:r w:rsidRPr="00EA2564">
              <w:lastRenderedPageBreak/>
              <w:t xml:space="preserve">     </w:t>
            </w:r>
            <w:r w:rsidRPr="00EA2564">
              <w:rPr>
                <w:strike/>
              </w:rPr>
              <w:t>Небанківський надавач платіжних послуг за наявності коштів на платіжному рахунку фізичної особи-підприємця, який закривається в порядку, передбаченому в абзаці першому пункту 124 розділу Х</w:t>
            </w:r>
            <w:r w:rsidRPr="00EA2564">
              <w:rPr>
                <w:strike/>
                <w:lang w:val="en-US"/>
              </w:rPr>
              <w:t>V</w:t>
            </w:r>
            <w:r w:rsidRPr="00EA2564">
              <w:rPr>
                <w:strike/>
              </w:rPr>
              <w:t xml:space="preserve"> цієї Інструкції, відкриває цій особі платіжний рахунок для власних потреб. Залишок коштів із платіжного рахунку фізичної особи-підприємця перераховується на відкритий небанківським надавачем платіжних послуг або вже діючий у цього небанківського надавача платіжних послуг платіжний рахунок цієї фізичної особи для власних потреб. </w:t>
            </w:r>
            <w:r w:rsidRPr="00EA2564">
              <w:rPr>
                <w:bCs/>
                <w:strike/>
              </w:rPr>
              <w:t>Видаткові операції за платіжним рахунком фізичної особи для власних потреб, відкритим небанківським надавачем платіжних послуг у порядку, визначеному в абзаці четвертому пункту 124 розділу Х</w:t>
            </w:r>
            <w:r w:rsidRPr="00EA2564">
              <w:rPr>
                <w:bCs/>
                <w:strike/>
                <w:lang w:val="en-US"/>
              </w:rPr>
              <w:t>V</w:t>
            </w:r>
            <w:r w:rsidRPr="00EA2564">
              <w:rPr>
                <w:bCs/>
                <w:strike/>
              </w:rPr>
              <w:t xml:space="preserve"> цієї Інструкції, здійснюються після звернення фізичної особи до небанківського надавача платіжних послуг, пред’явлення нею документів, що дають змогу небанківському надавачу платіжних послуг її ідентифікувати та </w:t>
            </w:r>
            <w:proofErr w:type="spellStart"/>
            <w:r w:rsidRPr="00EA2564">
              <w:rPr>
                <w:bCs/>
                <w:strike/>
              </w:rPr>
              <w:t>верифікувати</w:t>
            </w:r>
            <w:proofErr w:type="spellEnd"/>
            <w:r w:rsidRPr="00EA2564">
              <w:rPr>
                <w:bCs/>
                <w:strike/>
              </w:rPr>
              <w:t>, і укладення договору банківського рахунку</w:t>
            </w:r>
            <w:r w:rsidRPr="00EA2564">
              <w:rPr>
                <w:strike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204BDBE6" w14:textId="77777777" w:rsidR="004243CC" w:rsidRPr="003068B7" w:rsidRDefault="004243CC" w:rsidP="004243CC">
            <w:pPr>
              <w:jc w:val="both"/>
            </w:pPr>
            <w:r w:rsidRPr="003068B7">
              <w:lastRenderedPageBreak/>
              <w:t xml:space="preserve">     124. Надавач платіжних послуг закриває поточний/платіжний рахунок юридичної особи-резидента, фізичної особи-підприємця (якщо немає залишку коштів на рахунку) на підставі інформації, отриманої від контролюючих органів, та перевірки її в Єдиному державному реєстрі в порядку, визначеному законодавством України, про державну реєстрацію припинення юридичної особи/підприємницької діяльності фізичної особи-підприємця або самостійного виявлення таких відомостей в Єдиному державному реєстрі. </w:t>
            </w:r>
          </w:p>
          <w:p w14:paraId="193FD708" w14:textId="77777777" w:rsidR="004243CC" w:rsidRPr="003068B7" w:rsidRDefault="004243CC" w:rsidP="004243CC">
            <w:pPr>
              <w:jc w:val="both"/>
            </w:pPr>
            <w:r w:rsidRPr="003068B7">
              <w:t xml:space="preserve">     Банк закриває поточний рахунок юридичної особи-резидента, що ліквідувалася (якщо є залишок коштів на рахунку), у порядку, передбаченому в абзаці першому пункту 124 розділу Х</w:t>
            </w:r>
            <w:r w:rsidRPr="003068B7">
              <w:rPr>
                <w:lang w:val="en-US"/>
              </w:rPr>
              <w:t>V</w:t>
            </w:r>
            <w:r w:rsidRPr="003068B7">
              <w:t xml:space="preserve"> цієї Інструкції, а залишок коштів перераховує на балансовий рахунок для обліку коштів за недіючими рахунками.</w:t>
            </w:r>
          </w:p>
          <w:p w14:paraId="41290487" w14:textId="77777777" w:rsidR="004243CC" w:rsidRPr="003068B7" w:rsidRDefault="004243CC" w:rsidP="004243CC">
            <w:pPr>
              <w:jc w:val="both"/>
            </w:pPr>
            <w:r w:rsidRPr="003068B7">
              <w:t xml:space="preserve">     Небанківський надавач платіжних послуг у випадку, визначеному в абзаці другому пункту 124 розділу Х</w:t>
            </w:r>
            <w:r w:rsidRPr="003068B7">
              <w:rPr>
                <w:lang w:val="en-US"/>
              </w:rPr>
              <w:t>V</w:t>
            </w:r>
            <w:r w:rsidRPr="003068B7">
              <w:t xml:space="preserve"> цієї Інструкції, обліковує залишок коштів, перерахованих з платіжного рахунку, в порядку, визначеному його внутрішніми документами.</w:t>
            </w:r>
          </w:p>
          <w:p w14:paraId="5D9F98D7" w14:textId="77777777" w:rsidR="004243CC" w:rsidRPr="003068B7" w:rsidRDefault="004243CC" w:rsidP="004243CC">
            <w:pPr>
              <w:jc w:val="both"/>
              <w:rPr>
                <w:strike/>
              </w:rPr>
            </w:pPr>
            <w:r w:rsidRPr="003068B7">
              <w:t xml:space="preserve">     </w:t>
            </w:r>
          </w:p>
        </w:tc>
      </w:tr>
      <w:tr w:rsidR="004243CC" w:rsidRPr="0008679C" w14:paraId="00B92EE1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6B59FB07" w14:textId="77777777" w:rsidR="004243CC" w:rsidRPr="00D83C4B" w:rsidRDefault="004243CC" w:rsidP="004243CC">
            <w:pPr>
              <w:jc w:val="center"/>
              <w:rPr>
                <w:b/>
              </w:rPr>
            </w:pPr>
            <w:r w:rsidRPr="00D83C4B">
              <w:rPr>
                <w:b/>
              </w:rPr>
              <w:t>Додаток 4</w:t>
            </w:r>
          </w:p>
        </w:tc>
        <w:tc>
          <w:tcPr>
            <w:tcW w:w="7654" w:type="dxa"/>
            <w:shd w:val="clear" w:color="auto" w:fill="auto"/>
          </w:tcPr>
          <w:p w14:paraId="76003333" w14:textId="77777777" w:rsidR="004243CC" w:rsidRPr="003068B7" w:rsidRDefault="004243CC" w:rsidP="004243CC">
            <w:pPr>
              <w:jc w:val="center"/>
              <w:rPr>
                <w:b/>
              </w:rPr>
            </w:pPr>
            <w:r w:rsidRPr="003068B7">
              <w:rPr>
                <w:b/>
              </w:rPr>
              <w:t>Додаток 4</w:t>
            </w:r>
          </w:p>
        </w:tc>
      </w:tr>
      <w:tr w:rsidR="004243CC" w:rsidRPr="0008679C" w14:paraId="549C0061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5B48313F" w14:textId="77777777" w:rsidR="004243CC" w:rsidRDefault="004243CC" w:rsidP="004243CC">
            <w:pPr>
              <w:jc w:val="center"/>
            </w:pPr>
            <w:r>
              <w:t>Заява про відкриття поточного рахунку</w:t>
            </w:r>
          </w:p>
          <w:p w14:paraId="7B9630F9" w14:textId="77777777" w:rsidR="004243CC" w:rsidRDefault="004243CC" w:rsidP="004243CC">
            <w:pPr>
              <w:jc w:val="center"/>
            </w:pPr>
            <w:r>
              <w:t>…</w:t>
            </w:r>
          </w:p>
          <w:p w14:paraId="4BE1CC1F" w14:textId="77777777" w:rsidR="004243CC" w:rsidRPr="00D83C4B" w:rsidRDefault="004243CC" w:rsidP="004243CC">
            <w:pPr>
              <w:jc w:val="both"/>
              <w:rPr>
                <w:u w:val="single"/>
              </w:rPr>
            </w:pPr>
            <w:r w:rsidRPr="00B919EF">
              <w:t xml:space="preserve">5. Даю дозвіл на надання окружній виборчій комісії та Національному агентству з питань запобігання корупції відомостей про </w:t>
            </w:r>
            <w:r w:rsidRPr="00D83C4B">
              <w:rPr>
                <w:u w:val="single"/>
              </w:rPr>
              <w:t>операції за цим рахунком.</w:t>
            </w:r>
          </w:p>
          <w:p w14:paraId="3060B148" w14:textId="77777777" w:rsidR="004243CC" w:rsidRPr="00D83C4B" w:rsidRDefault="004243CC" w:rsidP="004243CC">
            <w:pPr>
              <w:jc w:val="center"/>
            </w:pPr>
            <w:r>
              <w:t>…</w:t>
            </w:r>
          </w:p>
        </w:tc>
        <w:tc>
          <w:tcPr>
            <w:tcW w:w="7654" w:type="dxa"/>
            <w:shd w:val="clear" w:color="auto" w:fill="auto"/>
          </w:tcPr>
          <w:p w14:paraId="087DDFD7" w14:textId="77777777" w:rsidR="004243CC" w:rsidRPr="003068B7" w:rsidRDefault="004243CC" w:rsidP="004243CC">
            <w:pPr>
              <w:jc w:val="center"/>
            </w:pPr>
            <w:r w:rsidRPr="003068B7">
              <w:t>Заява про відкриття поточного рахунку</w:t>
            </w:r>
          </w:p>
          <w:p w14:paraId="6000F5EC" w14:textId="77777777" w:rsidR="004243CC" w:rsidRPr="003068B7" w:rsidRDefault="004243CC" w:rsidP="004243CC">
            <w:pPr>
              <w:jc w:val="center"/>
            </w:pPr>
            <w:r w:rsidRPr="003068B7">
              <w:t>…</w:t>
            </w:r>
          </w:p>
          <w:p w14:paraId="1FE74F21" w14:textId="77777777" w:rsidR="004243CC" w:rsidRPr="003068B7" w:rsidRDefault="004243CC" w:rsidP="004243CC">
            <w:pPr>
              <w:jc w:val="both"/>
              <w:rPr>
                <w:b/>
                <w:bCs/>
              </w:rPr>
            </w:pPr>
            <w:r w:rsidRPr="003068B7">
              <w:t xml:space="preserve">5. Даю дозвіл на надання окружній виборчій комісії та Національному агентству з питань запобігання корупції відомостей про </w:t>
            </w:r>
            <w:r w:rsidRPr="003068B7">
              <w:rPr>
                <w:b/>
                <w:bCs/>
              </w:rPr>
              <w:t>відкриття поточного рахунку та його реквізити, </w:t>
            </w:r>
            <w:r w:rsidRPr="003068B7">
              <w:rPr>
                <w:b/>
              </w:rPr>
              <w:t> </w:t>
            </w:r>
            <w:r w:rsidRPr="003068B7">
              <w:rPr>
                <w:b/>
                <w:bCs/>
              </w:rPr>
              <w:t>про розміри та джерела внесків, що надійшли на рахунок, рух коштів, а також їх залишки на рахунку.</w:t>
            </w:r>
          </w:p>
          <w:p w14:paraId="07D36A27" w14:textId="77777777" w:rsidR="004243CC" w:rsidRPr="003068B7" w:rsidRDefault="004243CC" w:rsidP="004243CC">
            <w:pPr>
              <w:jc w:val="center"/>
            </w:pPr>
            <w:r w:rsidRPr="003068B7">
              <w:rPr>
                <w:bCs/>
              </w:rPr>
              <w:t>…</w:t>
            </w:r>
          </w:p>
        </w:tc>
      </w:tr>
    </w:tbl>
    <w:p w14:paraId="7FC77B80" w14:textId="77777777" w:rsidR="00AF5F5F" w:rsidRPr="00743420" w:rsidRDefault="00AF5F5F" w:rsidP="00A109A3">
      <w:pPr>
        <w:rPr>
          <w:sz w:val="20"/>
          <w:szCs w:val="20"/>
        </w:rPr>
      </w:pPr>
    </w:p>
    <w:p w14:paraId="22D9DDC8" w14:textId="77777777" w:rsidR="00615B79" w:rsidRPr="00865DB2" w:rsidRDefault="00615B79" w:rsidP="00A109A3">
      <w:pPr>
        <w:rPr>
          <w:sz w:val="28"/>
          <w:szCs w:val="28"/>
        </w:rPr>
      </w:pPr>
      <w:r w:rsidRPr="00865DB2">
        <w:rPr>
          <w:sz w:val="28"/>
          <w:szCs w:val="28"/>
        </w:rPr>
        <w:t>Д</w:t>
      </w:r>
      <w:r w:rsidR="00A109A3" w:rsidRPr="00865DB2">
        <w:rPr>
          <w:sz w:val="28"/>
          <w:szCs w:val="28"/>
        </w:rPr>
        <w:t xml:space="preserve">иректор Департаменту платіжних </w:t>
      </w:r>
    </w:p>
    <w:p w14:paraId="1B1DF3F0" w14:textId="77777777" w:rsidR="00A109A3" w:rsidRPr="00865DB2" w:rsidRDefault="00A109A3" w:rsidP="005F66DD">
      <w:pPr>
        <w:rPr>
          <w:sz w:val="28"/>
          <w:szCs w:val="28"/>
        </w:rPr>
      </w:pPr>
      <w:r w:rsidRPr="00865DB2">
        <w:rPr>
          <w:sz w:val="28"/>
          <w:szCs w:val="28"/>
        </w:rPr>
        <w:t>систем та інноваційного розвитку</w:t>
      </w:r>
      <w:r w:rsidR="00615B79" w:rsidRPr="00865DB2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9B5DCA">
        <w:rPr>
          <w:sz w:val="28"/>
          <w:szCs w:val="28"/>
        </w:rPr>
        <w:t>Андрій ПОДДЄРЬОГІН</w:t>
      </w:r>
      <w:r w:rsidRPr="00865DB2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6723ED17" w14:textId="77777777" w:rsidR="001839AD" w:rsidRDefault="001839AD" w:rsidP="00F34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478" w:rsidRPr="00865DB2">
        <w:rPr>
          <w:sz w:val="28"/>
          <w:szCs w:val="28"/>
        </w:rPr>
        <w:t>“___”  ___________ 20</w:t>
      </w:r>
      <w:r w:rsidR="00615B79" w:rsidRPr="00865DB2">
        <w:rPr>
          <w:sz w:val="28"/>
          <w:szCs w:val="28"/>
        </w:rPr>
        <w:t>2</w:t>
      </w:r>
      <w:r w:rsidR="00EF29E7">
        <w:rPr>
          <w:sz w:val="28"/>
          <w:szCs w:val="28"/>
          <w:lang w:val="ru-RU"/>
        </w:rPr>
        <w:t xml:space="preserve">4 </w:t>
      </w:r>
      <w:r w:rsidR="00F34478" w:rsidRPr="00865DB2">
        <w:rPr>
          <w:sz w:val="28"/>
          <w:szCs w:val="28"/>
        </w:rPr>
        <w:t>року</w:t>
      </w:r>
    </w:p>
    <w:p w14:paraId="684B8051" w14:textId="77777777" w:rsidR="00867C7B" w:rsidRPr="00865DB2" w:rsidRDefault="00F34478" w:rsidP="00743420">
      <w:pPr>
        <w:jc w:val="both"/>
        <w:rPr>
          <w:sz w:val="27"/>
          <w:szCs w:val="27"/>
        </w:rPr>
      </w:pPr>
      <w:r w:rsidRPr="00865DB2">
        <w:rPr>
          <w:sz w:val="28"/>
          <w:szCs w:val="28"/>
        </w:rPr>
        <w:t xml:space="preserve">           </w:t>
      </w:r>
      <w:r w:rsidR="009A4CCA" w:rsidRPr="00865DB2">
        <w:rPr>
          <w:sz w:val="28"/>
          <w:szCs w:val="28"/>
        </w:rPr>
        <w:t xml:space="preserve">      </w:t>
      </w:r>
      <w:r w:rsidRPr="00865DB2">
        <w:t>(дата)</w:t>
      </w:r>
    </w:p>
    <w:sectPr w:rsidR="00867C7B" w:rsidRPr="00865DB2" w:rsidSect="00743420">
      <w:headerReference w:type="even" r:id="rId8"/>
      <w:headerReference w:type="default" r:id="rId9"/>
      <w:pgSz w:w="16838" w:h="11906" w:orient="landscape"/>
      <w:pgMar w:top="1134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6286F" w14:textId="77777777" w:rsidR="00FD1F0F" w:rsidRDefault="00FD1F0F">
      <w:r>
        <w:separator/>
      </w:r>
    </w:p>
  </w:endnote>
  <w:endnote w:type="continuationSeparator" w:id="0">
    <w:p w14:paraId="0524F26A" w14:textId="77777777" w:rsidR="00FD1F0F" w:rsidRDefault="00F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E196" w14:textId="77777777" w:rsidR="00FD1F0F" w:rsidRDefault="00FD1F0F">
      <w:r>
        <w:separator/>
      </w:r>
    </w:p>
  </w:footnote>
  <w:footnote w:type="continuationSeparator" w:id="0">
    <w:p w14:paraId="6BF9DCB6" w14:textId="77777777" w:rsidR="00FD1F0F" w:rsidRDefault="00FD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808A" w14:textId="77777777" w:rsidR="00162774" w:rsidRDefault="00162774" w:rsidP="00B473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62245F" w14:textId="77777777" w:rsidR="00162774" w:rsidRDefault="001627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68F1" w14:textId="7FE83FB9" w:rsidR="00162774" w:rsidRDefault="00162774" w:rsidP="00B473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008C">
      <w:rPr>
        <w:rStyle w:val="a6"/>
        <w:noProof/>
      </w:rPr>
      <w:t>5</w:t>
    </w:r>
    <w:r>
      <w:rPr>
        <w:rStyle w:val="a6"/>
      </w:rPr>
      <w:fldChar w:fldCharType="end"/>
    </w:r>
  </w:p>
  <w:p w14:paraId="0D87A851" w14:textId="77777777" w:rsidR="00162774" w:rsidRDefault="001627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4FDD"/>
    <w:multiLevelType w:val="multilevel"/>
    <w:tmpl w:val="102E2D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8650BC"/>
    <w:multiLevelType w:val="hybridMultilevel"/>
    <w:tmpl w:val="EACC30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1312"/>
    <w:multiLevelType w:val="hybridMultilevel"/>
    <w:tmpl w:val="4F9EB914"/>
    <w:lvl w:ilvl="0" w:tplc="7B62E986">
      <w:start w:val="2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449C5453"/>
    <w:multiLevelType w:val="hybridMultilevel"/>
    <w:tmpl w:val="EACC30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5626B"/>
    <w:multiLevelType w:val="multilevel"/>
    <w:tmpl w:val="C85C26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541177"/>
    <w:multiLevelType w:val="multilevel"/>
    <w:tmpl w:val="496E6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 w15:restartNumberingAfterBreak="0">
    <w:nsid w:val="5DE2037F"/>
    <w:multiLevelType w:val="multilevel"/>
    <w:tmpl w:val="92E49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68A01AE3"/>
    <w:multiLevelType w:val="hybridMultilevel"/>
    <w:tmpl w:val="7BE8F3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824C6"/>
    <w:multiLevelType w:val="hybridMultilevel"/>
    <w:tmpl w:val="FCE221AE"/>
    <w:lvl w:ilvl="0" w:tplc="2FCC33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A574110"/>
    <w:multiLevelType w:val="multilevel"/>
    <w:tmpl w:val="83747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0D"/>
    <w:rsid w:val="00003197"/>
    <w:rsid w:val="00010958"/>
    <w:rsid w:val="000173F4"/>
    <w:rsid w:val="00022624"/>
    <w:rsid w:val="00024D90"/>
    <w:rsid w:val="00026FFE"/>
    <w:rsid w:val="00030E04"/>
    <w:rsid w:val="00031108"/>
    <w:rsid w:val="000313E7"/>
    <w:rsid w:val="00032D2A"/>
    <w:rsid w:val="00032E6A"/>
    <w:rsid w:val="000437EE"/>
    <w:rsid w:val="00052D79"/>
    <w:rsid w:val="000555ED"/>
    <w:rsid w:val="000565BB"/>
    <w:rsid w:val="000567B7"/>
    <w:rsid w:val="000571CC"/>
    <w:rsid w:val="000619E2"/>
    <w:rsid w:val="0006704F"/>
    <w:rsid w:val="000674C6"/>
    <w:rsid w:val="00074DA0"/>
    <w:rsid w:val="00075AB4"/>
    <w:rsid w:val="00075FF3"/>
    <w:rsid w:val="00081D00"/>
    <w:rsid w:val="00082840"/>
    <w:rsid w:val="0008679C"/>
    <w:rsid w:val="0008788A"/>
    <w:rsid w:val="0009717B"/>
    <w:rsid w:val="000A46A4"/>
    <w:rsid w:val="000A6BA6"/>
    <w:rsid w:val="000A6E55"/>
    <w:rsid w:val="000B02EE"/>
    <w:rsid w:val="000B0662"/>
    <w:rsid w:val="000B3A42"/>
    <w:rsid w:val="000B4193"/>
    <w:rsid w:val="000B594C"/>
    <w:rsid w:val="000B6F1B"/>
    <w:rsid w:val="000C0281"/>
    <w:rsid w:val="000C0FA5"/>
    <w:rsid w:val="000C23E6"/>
    <w:rsid w:val="000C3394"/>
    <w:rsid w:val="000C548A"/>
    <w:rsid w:val="000D010A"/>
    <w:rsid w:val="000D0503"/>
    <w:rsid w:val="000E38BF"/>
    <w:rsid w:val="000E3AA3"/>
    <w:rsid w:val="000E440A"/>
    <w:rsid w:val="000E5A39"/>
    <w:rsid w:val="000E6E3C"/>
    <w:rsid w:val="000F19EC"/>
    <w:rsid w:val="000F5A38"/>
    <w:rsid w:val="000F5D42"/>
    <w:rsid w:val="000F7A08"/>
    <w:rsid w:val="00100022"/>
    <w:rsid w:val="001016C3"/>
    <w:rsid w:val="0010340D"/>
    <w:rsid w:val="00104D7E"/>
    <w:rsid w:val="00107A17"/>
    <w:rsid w:val="00112474"/>
    <w:rsid w:val="001153E4"/>
    <w:rsid w:val="00116DF7"/>
    <w:rsid w:val="001302B4"/>
    <w:rsid w:val="001302C6"/>
    <w:rsid w:val="0013165F"/>
    <w:rsid w:val="00136CD8"/>
    <w:rsid w:val="00136F0E"/>
    <w:rsid w:val="0013716B"/>
    <w:rsid w:val="00140A9D"/>
    <w:rsid w:val="001412D9"/>
    <w:rsid w:val="00141881"/>
    <w:rsid w:val="0014514C"/>
    <w:rsid w:val="00146B89"/>
    <w:rsid w:val="00151076"/>
    <w:rsid w:val="001519C5"/>
    <w:rsid w:val="00151C25"/>
    <w:rsid w:val="00151E96"/>
    <w:rsid w:val="00152568"/>
    <w:rsid w:val="00153230"/>
    <w:rsid w:val="0015347D"/>
    <w:rsid w:val="00153AAF"/>
    <w:rsid w:val="001554E3"/>
    <w:rsid w:val="001566B0"/>
    <w:rsid w:val="00156D4E"/>
    <w:rsid w:val="001622AB"/>
    <w:rsid w:val="00162774"/>
    <w:rsid w:val="00162D53"/>
    <w:rsid w:val="001641F1"/>
    <w:rsid w:val="00164B3A"/>
    <w:rsid w:val="001656DD"/>
    <w:rsid w:val="00166A83"/>
    <w:rsid w:val="00167E73"/>
    <w:rsid w:val="001704E5"/>
    <w:rsid w:val="00170593"/>
    <w:rsid w:val="00172520"/>
    <w:rsid w:val="00174576"/>
    <w:rsid w:val="00176E60"/>
    <w:rsid w:val="0017727D"/>
    <w:rsid w:val="00180FBF"/>
    <w:rsid w:val="00182B91"/>
    <w:rsid w:val="001830A9"/>
    <w:rsid w:val="00183301"/>
    <w:rsid w:val="001839AD"/>
    <w:rsid w:val="00184406"/>
    <w:rsid w:val="0018481D"/>
    <w:rsid w:val="00184D66"/>
    <w:rsid w:val="00186134"/>
    <w:rsid w:val="00187667"/>
    <w:rsid w:val="00191EBF"/>
    <w:rsid w:val="00193977"/>
    <w:rsid w:val="00194C11"/>
    <w:rsid w:val="001A73E1"/>
    <w:rsid w:val="001B1032"/>
    <w:rsid w:val="001B24F2"/>
    <w:rsid w:val="001C032F"/>
    <w:rsid w:val="001C4174"/>
    <w:rsid w:val="001C6501"/>
    <w:rsid w:val="001C7136"/>
    <w:rsid w:val="001D0A48"/>
    <w:rsid w:val="001D1271"/>
    <w:rsid w:val="001D27C3"/>
    <w:rsid w:val="001D362B"/>
    <w:rsid w:val="001D4BA0"/>
    <w:rsid w:val="001D7FB2"/>
    <w:rsid w:val="001E0251"/>
    <w:rsid w:val="001F23DF"/>
    <w:rsid w:val="001F3AF8"/>
    <w:rsid w:val="00203A4D"/>
    <w:rsid w:val="002064D5"/>
    <w:rsid w:val="002074B5"/>
    <w:rsid w:val="00207625"/>
    <w:rsid w:val="00214874"/>
    <w:rsid w:val="0022094E"/>
    <w:rsid w:val="00222BF7"/>
    <w:rsid w:val="00225C1C"/>
    <w:rsid w:val="00242826"/>
    <w:rsid w:val="00243451"/>
    <w:rsid w:val="00247C9D"/>
    <w:rsid w:val="0025049C"/>
    <w:rsid w:val="00250561"/>
    <w:rsid w:val="00257321"/>
    <w:rsid w:val="00264C3B"/>
    <w:rsid w:val="00265CE9"/>
    <w:rsid w:val="00266E49"/>
    <w:rsid w:val="00267035"/>
    <w:rsid w:val="00267422"/>
    <w:rsid w:val="00270430"/>
    <w:rsid w:val="002705F1"/>
    <w:rsid w:val="002726FD"/>
    <w:rsid w:val="00277E24"/>
    <w:rsid w:val="00283046"/>
    <w:rsid w:val="00283138"/>
    <w:rsid w:val="002857E1"/>
    <w:rsid w:val="00285CD3"/>
    <w:rsid w:val="00286848"/>
    <w:rsid w:val="00287743"/>
    <w:rsid w:val="00291BFC"/>
    <w:rsid w:val="00291CCE"/>
    <w:rsid w:val="00295636"/>
    <w:rsid w:val="00296155"/>
    <w:rsid w:val="0029775C"/>
    <w:rsid w:val="00297E87"/>
    <w:rsid w:val="002A0BE8"/>
    <w:rsid w:val="002A2316"/>
    <w:rsid w:val="002A46D8"/>
    <w:rsid w:val="002A4927"/>
    <w:rsid w:val="002A7FC0"/>
    <w:rsid w:val="002B1C97"/>
    <w:rsid w:val="002B1DD4"/>
    <w:rsid w:val="002B3125"/>
    <w:rsid w:val="002B34FC"/>
    <w:rsid w:val="002B579A"/>
    <w:rsid w:val="002B6537"/>
    <w:rsid w:val="002B7E9D"/>
    <w:rsid w:val="002C09CB"/>
    <w:rsid w:val="002C1FE4"/>
    <w:rsid w:val="002C225F"/>
    <w:rsid w:val="002C398A"/>
    <w:rsid w:val="002C453D"/>
    <w:rsid w:val="002C477D"/>
    <w:rsid w:val="002D2AFE"/>
    <w:rsid w:val="002D40F6"/>
    <w:rsid w:val="002D6087"/>
    <w:rsid w:val="002D7442"/>
    <w:rsid w:val="002E25E1"/>
    <w:rsid w:val="002E2A88"/>
    <w:rsid w:val="002E2D8E"/>
    <w:rsid w:val="002E3470"/>
    <w:rsid w:val="002E457D"/>
    <w:rsid w:val="002E4753"/>
    <w:rsid w:val="002E5395"/>
    <w:rsid w:val="002E71EF"/>
    <w:rsid w:val="002F3C76"/>
    <w:rsid w:val="002F5242"/>
    <w:rsid w:val="002F5A76"/>
    <w:rsid w:val="003004D8"/>
    <w:rsid w:val="00302CAA"/>
    <w:rsid w:val="0030687A"/>
    <w:rsid w:val="003068B7"/>
    <w:rsid w:val="003077BF"/>
    <w:rsid w:val="003111E5"/>
    <w:rsid w:val="00311E9A"/>
    <w:rsid w:val="0031318E"/>
    <w:rsid w:val="00317B8B"/>
    <w:rsid w:val="0032151B"/>
    <w:rsid w:val="003258D6"/>
    <w:rsid w:val="00331274"/>
    <w:rsid w:val="00335AA2"/>
    <w:rsid w:val="00335AF5"/>
    <w:rsid w:val="00335FF8"/>
    <w:rsid w:val="00341F71"/>
    <w:rsid w:val="00342B57"/>
    <w:rsid w:val="003430AA"/>
    <w:rsid w:val="00351E8E"/>
    <w:rsid w:val="003524EF"/>
    <w:rsid w:val="003565D0"/>
    <w:rsid w:val="003637AF"/>
    <w:rsid w:val="003648D0"/>
    <w:rsid w:val="00376513"/>
    <w:rsid w:val="00380B8A"/>
    <w:rsid w:val="00382E34"/>
    <w:rsid w:val="00383E90"/>
    <w:rsid w:val="0038734F"/>
    <w:rsid w:val="003906F0"/>
    <w:rsid w:val="003916D4"/>
    <w:rsid w:val="00393968"/>
    <w:rsid w:val="00394192"/>
    <w:rsid w:val="003960CD"/>
    <w:rsid w:val="003A0975"/>
    <w:rsid w:val="003A59DD"/>
    <w:rsid w:val="003A7794"/>
    <w:rsid w:val="003B11A4"/>
    <w:rsid w:val="003B17BE"/>
    <w:rsid w:val="003B190D"/>
    <w:rsid w:val="003B19CF"/>
    <w:rsid w:val="003B1CCE"/>
    <w:rsid w:val="003B43D9"/>
    <w:rsid w:val="003B4CBC"/>
    <w:rsid w:val="003B54B1"/>
    <w:rsid w:val="003B5C75"/>
    <w:rsid w:val="003C02B0"/>
    <w:rsid w:val="003C2A3F"/>
    <w:rsid w:val="003C36FC"/>
    <w:rsid w:val="003C4121"/>
    <w:rsid w:val="003C5615"/>
    <w:rsid w:val="003C76B4"/>
    <w:rsid w:val="003D112C"/>
    <w:rsid w:val="003D31E0"/>
    <w:rsid w:val="003D5A60"/>
    <w:rsid w:val="003D6323"/>
    <w:rsid w:val="003D7692"/>
    <w:rsid w:val="003E1203"/>
    <w:rsid w:val="003E2DCA"/>
    <w:rsid w:val="003E3DAD"/>
    <w:rsid w:val="003E594F"/>
    <w:rsid w:val="003E5BFC"/>
    <w:rsid w:val="003E6A38"/>
    <w:rsid w:val="003F0ADD"/>
    <w:rsid w:val="003F266C"/>
    <w:rsid w:val="003F4F89"/>
    <w:rsid w:val="003F5F94"/>
    <w:rsid w:val="003F7785"/>
    <w:rsid w:val="00400115"/>
    <w:rsid w:val="00402C6A"/>
    <w:rsid w:val="00404163"/>
    <w:rsid w:val="00407918"/>
    <w:rsid w:val="004207B8"/>
    <w:rsid w:val="00423252"/>
    <w:rsid w:val="004243CC"/>
    <w:rsid w:val="00425BB1"/>
    <w:rsid w:val="00426153"/>
    <w:rsid w:val="00432B6B"/>
    <w:rsid w:val="004333B9"/>
    <w:rsid w:val="0043358A"/>
    <w:rsid w:val="00434E27"/>
    <w:rsid w:val="00437559"/>
    <w:rsid w:val="00437CC7"/>
    <w:rsid w:val="00445864"/>
    <w:rsid w:val="004477E2"/>
    <w:rsid w:val="00447F3F"/>
    <w:rsid w:val="004532A5"/>
    <w:rsid w:val="00454022"/>
    <w:rsid w:val="004563E3"/>
    <w:rsid w:val="0046132E"/>
    <w:rsid w:val="004614DB"/>
    <w:rsid w:val="00464C05"/>
    <w:rsid w:val="004704EC"/>
    <w:rsid w:val="00471163"/>
    <w:rsid w:val="004736C2"/>
    <w:rsid w:val="004737CD"/>
    <w:rsid w:val="00474C17"/>
    <w:rsid w:val="00474D3A"/>
    <w:rsid w:val="00480B78"/>
    <w:rsid w:val="00481E18"/>
    <w:rsid w:val="00482682"/>
    <w:rsid w:val="0048735A"/>
    <w:rsid w:val="00487F34"/>
    <w:rsid w:val="00490DD0"/>
    <w:rsid w:val="00491981"/>
    <w:rsid w:val="0049519D"/>
    <w:rsid w:val="004A2019"/>
    <w:rsid w:val="004A2244"/>
    <w:rsid w:val="004A369C"/>
    <w:rsid w:val="004A44EE"/>
    <w:rsid w:val="004A5174"/>
    <w:rsid w:val="004A7672"/>
    <w:rsid w:val="004B01CB"/>
    <w:rsid w:val="004B24C4"/>
    <w:rsid w:val="004B40A9"/>
    <w:rsid w:val="004B4829"/>
    <w:rsid w:val="004B5A3F"/>
    <w:rsid w:val="004C0749"/>
    <w:rsid w:val="004C0A95"/>
    <w:rsid w:val="004C2A0B"/>
    <w:rsid w:val="004C3987"/>
    <w:rsid w:val="004C4B76"/>
    <w:rsid w:val="004C59BC"/>
    <w:rsid w:val="004C5D04"/>
    <w:rsid w:val="004C68FD"/>
    <w:rsid w:val="004C7D2E"/>
    <w:rsid w:val="004D2D52"/>
    <w:rsid w:val="004D3730"/>
    <w:rsid w:val="004E0128"/>
    <w:rsid w:val="004E0F3C"/>
    <w:rsid w:val="004E1E44"/>
    <w:rsid w:val="004E3363"/>
    <w:rsid w:val="004E34BE"/>
    <w:rsid w:val="004E4628"/>
    <w:rsid w:val="004E5016"/>
    <w:rsid w:val="004E582B"/>
    <w:rsid w:val="004E7AEF"/>
    <w:rsid w:val="004F0065"/>
    <w:rsid w:val="004F45A6"/>
    <w:rsid w:val="004F4806"/>
    <w:rsid w:val="004F59C4"/>
    <w:rsid w:val="004F5EC0"/>
    <w:rsid w:val="004F6411"/>
    <w:rsid w:val="004F70AA"/>
    <w:rsid w:val="0050164C"/>
    <w:rsid w:val="00507272"/>
    <w:rsid w:val="00507F25"/>
    <w:rsid w:val="005108BD"/>
    <w:rsid w:val="00510FA8"/>
    <w:rsid w:val="00513A8F"/>
    <w:rsid w:val="005206F9"/>
    <w:rsid w:val="00521434"/>
    <w:rsid w:val="00521E89"/>
    <w:rsid w:val="00525C82"/>
    <w:rsid w:val="00525E48"/>
    <w:rsid w:val="005303CA"/>
    <w:rsid w:val="00531D4D"/>
    <w:rsid w:val="00532CCE"/>
    <w:rsid w:val="005341E1"/>
    <w:rsid w:val="005416EB"/>
    <w:rsid w:val="00542CD8"/>
    <w:rsid w:val="005470B3"/>
    <w:rsid w:val="00551971"/>
    <w:rsid w:val="005534F5"/>
    <w:rsid w:val="00554B9B"/>
    <w:rsid w:val="00554DD0"/>
    <w:rsid w:val="00555B29"/>
    <w:rsid w:val="00556293"/>
    <w:rsid w:val="005573AF"/>
    <w:rsid w:val="00557C14"/>
    <w:rsid w:val="00560AD4"/>
    <w:rsid w:val="00562BAC"/>
    <w:rsid w:val="00566299"/>
    <w:rsid w:val="0056783F"/>
    <w:rsid w:val="00570207"/>
    <w:rsid w:val="00570F36"/>
    <w:rsid w:val="0057133A"/>
    <w:rsid w:val="005719F7"/>
    <w:rsid w:val="00573215"/>
    <w:rsid w:val="00576547"/>
    <w:rsid w:val="005774F8"/>
    <w:rsid w:val="00577509"/>
    <w:rsid w:val="00582DEA"/>
    <w:rsid w:val="00583413"/>
    <w:rsid w:val="005851B5"/>
    <w:rsid w:val="00587BAD"/>
    <w:rsid w:val="005903AB"/>
    <w:rsid w:val="00593322"/>
    <w:rsid w:val="0059426F"/>
    <w:rsid w:val="00595F36"/>
    <w:rsid w:val="005963FC"/>
    <w:rsid w:val="005A316D"/>
    <w:rsid w:val="005A5379"/>
    <w:rsid w:val="005A5F00"/>
    <w:rsid w:val="005B1178"/>
    <w:rsid w:val="005B2085"/>
    <w:rsid w:val="005B2641"/>
    <w:rsid w:val="005B3B8E"/>
    <w:rsid w:val="005B51DF"/>
    <w:rsid w:val="005B5645"/>
    <w:rsid w:val="005C669A"/>
    <w:rsid w:val="005C679A"/>
    <w:rsid w:val="005C78D7"/>
    <w:rsid w:val="005C7D09"/>
    <w:rsid w:val="005D19C9"/>
    <w:rsid w:val="005D2A51"/>
    <w:rsid w:val="005D3B2C"/>
    <w:rsid w:val="005D4584"/>
    <w:rsid w:val="005D59CC"/>
    <w:rsid w:val="005D5ACD"/>
    <w:rsid w:val="005D705F"/>
    <w:rsid w:val="005E023C"/>
    <w:rsid w:val="005E16D4"/>
    <w:rsid w:val="005E1E7A"/>
    <w:rsid w:val="005E2C9B"/>
    <w:rsid w:val="005E364D"/>
    <w:rsid w:val="005E5240"/>
    <w:rsid w:val="005E725B"/>
    <w:rsid w:val="005F1A2D"/>
    <w:rsid w:val="005F39E5"/>
    <w:rsid w:val="005F66DD"/>
    <w:rsid w:val="0060008F"/>
    <w:rsid w:val="006004BC"/>
    <w:rsid w:val="0060363A"/>
    <w:rsid w:val="006052E5"/>
    <w:rsid w:val="00610151"/>
    <w:rsid w:val="006101EE"/>
    <w:rsid w:val="00610660"/>
    <w:rsid w:val="00610A36"/>
    <w:rsid w:val="0061169E"/>
    <w:rsid w:val="00613C65"/>
    <w:rsid w:val="00615B79"/>
    <w:rsid w:val="006161E6"/>
    <w:rsid w:val="00617CB0"/>
    <w:rsid w:val="00627685"/>
    <w:rsid w:val="00632DD9"/>
    <w:rsid w:val="00634039"/>
    <w:rsid w:val="0063426E"/>
    <w:rsid w:val="00636144"/>
    <w:rsid w:val="006361CD"/>
    <w:rsid w:val="00644174"/>
    <w:rsid w:val="00644E72"/>
    <w:rsid w:val="0064568D"/>
    <w:rsid w:val="006511F5"/>
    <w:rsid w:val="006521B9"/>
    <w:rsid w:val="00654A98"/>
    <w:rsid w:val="00655072"/>
    <w:rsid w:val="00670BC3"/>
    <w:rsid w:val="006719C1"/>
    <w:rsid w:val="00671A29"/>
    <w:rsid w:val="00671F83"/>
    <w:rsid w:val="00672D98"/>
    <w:rsid w:val="00681E85"/>
    <w:rsid w:val="00682473"/>
    <w:rsid w:val="0068297E"/>
    <w:rsid w:val="00684EA9"/>
    <w:rsid w:val="006850B5"/>
    <w:rsid w:val="00690BA8"/>
    <w:rsid w:val="00691ABD"/>
    <w:rsid w:val="0069438E"/>
    <w:rsid w:val="006953FA"/>
    <w:rsid w:val="00696758"/>
    <w:rsid w:val="00697554"/>
    <w:rsid w:val="006A0D91"/>
    <w:rsid w:val="006A0FE8"/>
    <w:rsid w:val="006A16E8"/>
    <w:rsid w:val="006A1F97"/>
    <w:rsid w:val="006A2FB8"/>
    <w:rsid w:val="006A472B"/>
    <w:rsid w:val="006A4CB9"/>
    <w:rsid w:val="006A722C"/>
    <w:rsid w:val="006B432F"/>
    <w:rsid w:val="006B74CC"/>
    <w:rsid w:val="006E5712"/>
    <w:rsid w:val="006E67DE"/>
    <w:rsid w:val="006E77A1"/>
    <w:rsid w:val="006F15D4"/>
    <w:rsid w:val="006F2AB4"/>
    <w:rsid w:val="006F3DC6"/>
    <w:rsid w:val="006F4B4E"/>
    <w:rsid w:val="00704CE1"/>
    <w:rsid w:val="007052BD"/>
    <w:rsid w:val="00706114"/>
    <w:rsid w:val="00706C39"/>
    <w:rsid w:val="00707417"/>
    <w:rsid w:val="00710E94"/>
    <w:rsid w:val="00713080"/>
    <w:rsid w:val="007136AD"/>
    <w:rsid w:val="00716335"/>
    <w:rsid w:val="00720F71"/>
    <w:rsid w:val="0072168D"/>
    <w:rsid w:val="00721CF5"/>
    <w:rsid w:val="007242CB"/>
    <w:rsid w:val="00724EDE"/>
    <w:rsid w:val="0072676D"/>
    <w:rsid w:val="007353C6"/>
    <w:rsid w:val="00735D7B"/>
    <w:rsid w:val="00736517"/>
    <w:rsid w:val="00736F1E"/>
    <w:rsid w:val="007402BC"/>
    <w:rsid w:val="00740BD7"/>
    <w:rsid w:val="00742B25"/>
    <w:rsid w:val="00743420"/>
    <w:rsid w:val="007441EF"/>
    <w:rsid w:val="0074458B"/>
    <w:rsid w:val="007447BD"/>
    <w:rsid w:val="00751C0C"/>
    <w:rsid w:val="00751ED2"/>
    <w:rsid w:val="00752637"/>
    <w:rsid w:val="007527D7"/>
    <w:rsid w:val="00756ED0"/>
    <w:rsid w:val="00757393"/>
    <w:rsid w:val="00757E0D"/>
    <w:rsid w:val="00762245"/>
    <w:rsid w:val="00771566"/>
    <w:rsid w:val="00772E5F"/>
    <w:rsid w:val="00774427"/>
    <w:rsid w:val="00774996"/>
    <w:rsid w:val="007750A3"/>
    <w:rsid w:val="0078115F"/>
    <w:rsid w:val="007832A4"/>
    <w:rsid w:val="00783A8D"/>
    <w:rsid w:val="007853A4"/>
    <w:rsid w:val="00785F65"/>
    <w:rsid w:val="00797AF8"/>
    <w:rsid w:val="007A13DF"/>
    <w:rsid w:val="007A375B"/>
    <w:rsid w:val="007A7D69"/>
    <w:rsid w:val="007A7F48"/>
    <w:rsid w:val="007B0ACD"/>
    <w:rsid w:val="007B2078"/>
    <w:rsid w:val="007B5F00"/>
    <w:rsid w:val="007B6578"/>
    <w:rsid w:val="007C11E1"/>
    <w:rsid w:val="007C1E01"/>
    <w:rsid w:val="007C5E54"/>
    <w:rsid w:val="007D361D"/>
    <w:rsid w:val="007D44A4"/>
    <w:rsid w:val="007D4D54"/>
    <w:rsid w:val="007D5409"/>
    <w:rsid w:val="007D5ED3"/>
    <w:rsid w:val="007D77B5"/>
    <w:rsid w:val="007E13F7"/>
    <w:rsid w:val="007E1467"/>
    <w:rsid w:val="007E2059"/>
    <w:rsid w:val="007F29AB"/>
    <w:rsid w:val="00800386"/>
    <w:rsid w:val="00800431"/>
    <w:rsid w:val="00801448"/>
    <w:rsid w:val="00802586"/>
    <w:rsid w:val="00811172"/>
    <w:rsid w:val="00813956"/>
    <w:rsid w:val="00814345"/>
    <w:rsid w:val="0081477A"/>
    <w:rsid w:val="00815731"/>
    <w:rsid w:val="008158F3"/>
    <w:rsid w:val="008170C1"/>
    <w:rsid w:val="00821D66"/>
    <w:rsid w:val="008229DC"/>
    <w:rsid w:val="00823412"/>
    <w:rsid w:val="0082384F"/>
    <w:rsid w:val="00823890"/>
    <w:rsid w:val="0082697E"/>
    <w:rsid w:val="00830357"/>
    <w:rsid w:val="008303F3"/>
    <w:rsid w:val="00834DF6"/>
    <w:rsid w:val="0083734D"/>
    <w:rsid w:val="008377D7"/>
    <w:rsid w:val="00846F5A"/>
    <w:rsid w:val="00846FFE"/>
    <w:rsid w:val="008508BD"/>
    <w:rsid w:val="00851084"/>
    <w:rsid w:val="00854684"/>
    <w:rsid w:val="0085528F"/>
    <w:rsid w:val="00862EFA"/>
    <w:rsid w:val="00863157"/>
    <w:rsid w:val="00863321"/>
    <w:rsid w:val="00865DB2"/>
    <w:rsid w:val="00867C7B"/>
    <w:rsid w:val="00870213"/>
    <w:rsid w:val="0087124C"/>
    <w:rsid w:val="008726C5"/>
    <w:rsid w:val="008733D2"/>
    <w:rsid w:val="00875DD0"/>
    <w:rsid w:val="00875F0D"/>
    <w:rsid w:val="008800F1"/>
    <w:rsid w:val="00880CE0"/>
    <w:rsid w:val="00881303"/>
    <w:rsid w:val="008875D7"/>
    <w:rsid w:val="00890C0D"/>
    <w:rsid w:val="00892938"/>
    <w:rsid w:val="00892A37"/>
    <w:rsid w:val="00896B93"/>
    <w:rsid w:val="008A1F84"/>
    <w:rsid w:val="008A21DA"/>
    <w:rsid w:val="008A340F"/>
    <w:rsid w:val="008A3F24"/>
    <w:rsid w:val="008A570F"/>
    <w:rsid w:val="008A64C6"/>
    <w:rsid w:val="008B1F78"/>
    <w:rsid w:val="008B5701"/>
    <w:rsid w:val="008B6565"/>
    <w:rsid w:val="008C3BEE"/>
    <w:rsid w:val="008C5580"/>
    <w:rsid w:val="008C72E4"/>
    <w:rsid w:val="008C7B65"/>
    <w:rsid w:val="008D2D22"/>
    <w:rsid w:val="008D50FE"/>
    <w:rsid w:val="008D5523"/>
    <w:rsid w:val="008D5939"/>
    <w:rsid w:val="008D7F3B"/>
    <w:rsid w:val="008D7F52"/>
    <w:rsid w:val="008E11C1"/>
    <w:rsid w:val="008E3C80"/>
    <w:rsid w:val="008E6050"/>
    <w:rsid w:val="008E7021"/>
    <w:rsid w:val="008E763F"/>
    <w:rsid w:val="008E7DE6"/>
    <w:rsid w:val="008F4858"/>
    <w:rsid w:val="00900DEA"/>
    <w:rsid w:val="0090249C"/>
    <w:rsid w:val="00902BFC"/>
    <w:rsid w:val="00903602"/>
    <w:rsid w:val="00903E6B"/>
    <w:rsid w:val="00906F17"/>
    <w:rsid w:val="00907230"/>
    <w:rsid w:val="00912A23"/>
    <w:rsid w:val="0091416A"/>
    <w:rsid w:val="00924186"/>
    <w:rsid w:val="009249D1"/>
    <w:rsid w:val="009308DE"/>
    <w:rsid w:val="009368CA"/>
    <w:rsid w:val="009405F1"/>
    <w:rsid w:val="00940E12"/>
    <w:rsid w:val="00940F28"/>
    <w:rsid w:val="0094184D"/>
    <w:rsid w:val="00941A65"/>
    <w:rsid w:val="00943147"/>
    <w:rsid w:val="00950375"/>
    <w:rsid w:val="00950AFA"/>
    <w:rsid w:val="00950B0B"/>
    <w:rsid w:val="00952D2F"/>
    <w:rsid w:val="0095389E"/>
    <w:rsid w:val="009543C4"/>
    <w:rsid w:val="00955F05"/>
    <w:rsid w:val="00955FB4"/>
    <w:rsid w:val="009566A5"/>
    <w:rsid w:val="009607F4"/>
    <w:rsid w:val="00961A90"/>
    <w:rsid w:val="0096224A"/>
    <w:rsid w:val="00962526"/>
    <w:rsid w:val="00962771"/>
    <w:rsid w:val="0096621C"/>
    <w:rsid w:val="0096710D"/>
    <w:rsid w:val="009674BC"/>
    <w:rsid w:val="0097008C"/>
    <w:rsid w:val="0097109A"/>
    <w:rsid w:val="009712E7"/>
    <w:rsid w:val="00980E1C"/>
    <w:rsid w:val="00982057"/>
    <w:rsid w:val="00985DF3"/>
    <w:rsid w:val="00990C8E"/>
    <w:rsid w:val="0099420E"/>
    <w:rsid w:val="009A127A"/>
    <w:rsid w:val="009A2E77"/>
    <w:rsid w:val="009A4671"/>
    <w:rsid w:val="009A4678"/>
    <w:rsid w:val="009A4CCA"/>
    <w:rsid w:val="009A6194"/>
    <w:rsid w:val="009A7DFB"/>
    <w:rsid w:val="009B04C2"/>
    <w:rsid w:val="009B25D7"/>
    <w:rsid w:val="009B434A"/>
    <w:rsid w:val="009B5DCA"/>
    <w:rsid w:val="009C49A2"/>
    <w:rsid w:val="009D0612"/>
    <w:rsid w:val="009D0AB7"/>
    <w:rsid w:val="009D1B3B"/>
    <w:rsid w:val="009E23C7"/>
    <w:rsid w:val="009E3283"/>
    <w:rsid w:val="009E342F"/>
    <w:rsid w:val="009E6BE0"/>
    <w:rsid w:val="009F1F41"/>
    <w:rsid w:val="009F2ECA"/>
    <w:rsid w:val="009F42E8"/>
    <w:rsid w:val="009F5D40"/>
    <w:rsid w:val="00A015E8"/>
    <w:rsid w:val="00A015E9"/>
    <w:rsid w:val="00A01E9D"/>
    <w:rsid w:val="00A04681"/>
    <w:rsid w:val="00A059BE"/>
    <w:rsid w:val="00A060B0"/>
    <w:rsid w:val="00A06AA9"/>
    <w:rsid w:val="00A06F47"/>
    <w:rsid w:val="00A0797E"/>
    <w:rsid w:val="00A109A3"/>
    <w:rsid w:val="00A12DDB"/>
    <w:rsid w:val="00A13B16"/>
    <w:rsid w:val="00A14B86"/>
    <w:rsid w:val="00A15244"/>
    <w:rsid w:val="00A166AD"/>
    <w:rsid w:val="00A327FC"/>
    <w:rsid w:val="00A367CE"/>
    <w:rsid w:val="00A407EF"/>
    <w:rsid w:val="00A42D56"/>
    <w:rsid w:val="00A430FE"/>
    <w:rsid w:val="00A43761"/>
    <w:rsid w:val="00A448DE"/>
    <w:rsid w:val="00A460BA"/>
    <w:rsid w:val="00A54490"/>
    <w:rsid w:val="00A60834"/>
    <w:rsid w:val="00A60AD4"/>
    <w:rsid w:val="00A60C7D"/>
    <w:rsid w:val="00A6176C"/>
    <w:rsid w:val="00A71DB9"/>
    <w:rsid w:val="00A726D3"/>
    <w:rsid w:val="00A73080"/>
    <w:rsid w:val="00A7422D"/>
    <w:rsid w:val="00A76C4B"/>
    <w:rsid w:val="00A803C4"/>
    <w:rsid w:val="00A81029"/>
    <w:rsid w:val="00A81F1D"/>
    <w:rsid w:val="00A82861"/>
    <w:rsid w:val="00A82E45"/>
    <w:rsid w:val="00A90F4F"/>
    <w:rsid w:val="00A91150"/>
    <w:rsid w:val="00A97927"/>
    <w:rsid w:val="00AA2136"/>
    <w:rsid w:val="00AA439B"/>
    <w:rsid w:val="00AB2613"/>
    <w:rsid w:val="00AB3534"/>
    <w:rsid w:val="00AB355F"/>
    <w:rsid w:val="00AB58A2"/>
    <w:rsid w:val="00AC0394"/>
    <w:rsid w:val="00AC0625"/>
    <w:rsid w:val="00AC10A5"/>
    <w:rsid w:val="00AC4E66"/>
    <w:rsid w:val="00AD1EB5"/>
    <w:rsid w:val="00AD689E"/>
    <w:rsid w:val="00AD75B2"/>
    <w:rsid w:val="00AE54E3"/>
    <w:rsid w:val="00AE5933"/>
    <w:rsid w:val="00AE75FE"/>
    <w:rsid w:val="00AF00BC"/>
    <w:rsid w:val="00AF238D"/>
    <w:rsid w:val="00AF5F5F"/>
    <w:rsid w:val="00AF7438"/>
    <w:rsid w:val="00AF7FF3"/>
    <w:rsid w:val="00B04C95"/>
    <w:rsid w:val="00B07B57"/>
    <w:rsid w:val="00B10747"/>
    <w:rsid w:val="00B10C29"/>
    <w:rsid w:val="00B143A6"/>
    <w:rsid w:val="00B169BF"/>
    <w:rsid w:val="00B2203C"/>
    <w:rsid w:val="00B263D3"/>
    <w:rsid w:val="00B26A39"/>
    <w:rsid w:val="00B26C12"/>
    <w:rsid w:val="00B326CA"/>
    <w:rsid w:val="00B32D3C"/>
    <w:rsid w:val="00B35430"/>
    <w:rsid w:val="00B35459"/>
    <w:rsid w:val="00B36B4F"/>
    <w:rsid w:val="00B371E8"/>
    <w:rsid w:val="00B41E8F"/>
    <w:rsid w:val="00B42F7D"/>
    <w:rsid w:val="00B438B0"/>
    <w:rsid w:val="00B44383"/>
    <w:rsid w:val="00B44909"/>
    <w:rsid w:val="00B47320"/>
    <w:rsid w:val="00B47D2D"/>
    <w:rsid w:val="00B50018"/>
    <w:rsid w:val="00B51CBE"/>
    <w:rsid w:val="00B5313E"/>
    <w:rsid w:val="00B55D3E"/>
    <w:rsid w:val="00B66701"/>
    <w:rsid w:val="00B71514"/>
    <w:rsid w:val="00B717C5"/>
    <w:rsid w:val="00B756D4"/>
    <w:rsid w:val="00B75F69"/>
    <w:rsid w:val="00B779D4"/>
    <w:rsid w:val="00B80ECF"/>
    <w:rsid w:val="00B83733"/>
    <w:rsid w:val="00B83928"/>
    <w:rsid w:val="00B91249"/>
    <w:rsid w:val="00B91E79"/>
    <w:rsid w:val="00B9313C"/>
    <w:rsid w:val="00B93803"/>
    <w:rsid w:val="00B9441C"/>
    <w:rsid w:val="00B97666"/>
    <w:rsid w:val="00BA049D"/>
    <w:rsid w:val="00BA14D6"/>
    <w:rsid w:val="00BA2027"/>
    <w:rsid w:val="00BA548D"/>
    <w:rsid w:val="00BB2F84"/>
    <w:rsid w:val="00BB6950"/>
    <w:rsid w:val="00BC157F"/>
    <w:rsid w:val="00BC55C5"/>
    <w:rsid w:val="00BC60BB"/>
    <w:rsid w:val="00BD08A3"/>
    <w:rsid w:val="00BE11D9"/>
    <w:rsid w:val="00BE3760"/>
    <w:rsid w:val="00BE5C47"/>
    <w:rsid w:val="00BE7EA0"/>
    <w:rsid w:val="00BF0CDE"/>
    <w:rsid w:val="00BF1113"/>
    <w:rsid w:val="00BF2455"/>
    <w:rsid w:val="00BF2826"/>
    <w:rsid w:val="00BF2968"/>
    <w:rsid w:val="00BF5044"/>
    <w:rsid w:val="00C06116"/>
    <w:rsid w:val="00C06A8E"/>
    <w:rsid w:val="00C07AEF"/>
    <w:rsid w:val="00C10B6A"/>
    <w:rsid w:val="00C113A2"/>
    <w:rsid w:val="00C11531"/>
    <w:rsid w:val="00C12E29"/>
    <w:rsid w:val="00C1465D"/>
    <w:rsid w:val="00C16434"/>
    <w:rsid w:val="00C165D9"/>
    <w:rsid w:val="00C2016D"/>
    <w:rsid w:val="00C207A0"/>
    <w:rsid w:val="00C300F6"/>
    <w:rsid w:val="00C32EE0"/>
    <w:rsid w:val="00C33082"/>
    <w:rsid w:val="00C35D1B"/>
    <w:rsid w:val="00C431C2"/>
    <w:rsid w:val="00C43E76"/>
    <w:rsid w:val="00C449A9"/>
    <w:rsid w:val="00C46167"/>
    <w:rsid w:val="00C47D88"/>
    <w:rsid w:val="00C52725"/>
    <w:rsid w:val="00C608ED"/>
    <w:rsid w:val="00C60BA6"/>
    <w:rsid w:val="00C61494"/>
    <w:rsid w:val="00C66597"/>
    <w:rsid w:val="00C70889"/>
    <w:rsid w:val="00C70E6E"/>
    <w:rsid w:val="00C8119B"/>
    <w:rsid w:val="00C8182F"/>
    <w:rsid w:val="00C83280"/>
    <w:rsid w:val="00C8432B"/>
    <w:rsid w:val="00C84432"/>
    <w:rsid w:val="00C853A5"/>
    <w:rsid w:val="00C951BD"/>
    <w:rsid w:val="00C953E9"/>
    <w:rsid w:val="00C97215"/>
    <w:rsid w:val="00CA02A1"/>
    <w:rsid w:val="00CA410B"/>
    <w:rsid w:val="00CA49A5"/>
    <w:rsid w:val="00CA6C54"/>
    <w:rsid w:val="00CA73BC"/>
    <w:rsid w:val="00CB3B53"/>
    <w:rsid w:val="00CB4B9C"/>
    <w:rsid w:val="00CB6516"/>
    <w:rsid w:val="00CB7751"/>
    <w:rsid w:val="00CC0724"/>
    <w:rsid w:val="00CC25EC"/>
    <w:rsid w:val="00CC649A"/>
    <w:rsid w:val="00CC70D1"/>
    <w:rsid w:val="00CC7578"/>
    <w:rsid w:val="00CD03E5"/>
    <w:rsid w:val="00CD0869"/>
    <w:rsid w:val="00CD08CF"/>
    <w:rsid w:val="00CD0FF3"/>
    <w:rsid w:val="00CD4D99"/>
    <w:rsid w:val="00CE249C"/>
    <w:rsid w:val="00CE3E2B"/>
    <w:rsid w:val="00CE4847"/>
    <w:rsid w:val="00CE6576"/>
    <w:rsid w:val="00CF24F4"/>
    <w:rsid w:val="00CF3607"/>
    <w:rsid w:val="00CF4323"/>
    <w:rsid w:val="00CF737A"/>
    <w:rsid w:val="00CF7D07"/>
    <w:rsid w:val="00D007BD"/>
    <w:rsid w:val="00D0128A"/>
    <w:rsid w:val="00D0786E"/>
    <w:rsid w:val="00D07AD5"/>
    <w:rsid w:val="00D13EA6"/>
    <w:rsid w:val="00D14202"/>
    <w:rsid w:val="00D15C03"/>
    <w:rsid w:val="00D20E93"/>
    <w:rsid w:val="00D21E4C"/>
    <w:rsid w:val="00D222AE"/>
    <w:rsid w:val="00D31691"/>
    <w:rsid w:val="00D34A44"/>
    <w:rsid w:val="00D34F6B"/>
    <w:rsid w:val="00D42153"/>
    <w:rsid w:val="00D42309"/>
    <w:rsid w:val="00D439D7"/>
    <w:rsid w:val="00D4494F"/>
    <w:rsid w:val="00D4581B"/>
    <w:rsid w:val="00D4651A"/>
    <w:rsid w:val="00D52BD6"/>
    <w:rsid w:val="00D52C7A"/>
    <w:rsid w:val="00D5597C"/>
    <w:rsid w:val="00D568F2"/>
    <w:rsid w:val="00D61566"/>
    <w:rsid w:val="00D61CBB"/>
    <w:rsid w:val="00D6307E"/>
    <w:rsid w:val="00D64347"/>
    <w:rsid w:val="00D658D8"/>
    <w:rsid w:val="00D661B8"/>
    <w:rsid w:val="00D66C2D"/>
    <w:rsid w:val="00D7325A"/>
    <w:rsid w:val="00D73A73"/>
    <w:rsid w:val="00D76459"/>
    <w:rsid w:val="00D76B0B"/>
    <w:rsid w:val="00D8074A"/>
    <w:rsid w:val="00D82479"/>
    <w:rsid w:val="00D8252C"/>
    <w:rsid w:val="00D82819"/>
    <w:rsid w:val="00D83963"/>
    <w:rsid w:val="00D83C4B"/>
    <w:rsid w:val="00D8486F"/>
    <w:rsid w:val="00DA08CE"/>
    <w:rsid w:val="00DA4274"/>
    <w:rsid w:val="00DA5BA8"/>
    <w:rsid w:val="00DA7763"/>
    <w:rsid w:val="00DB08A0"/>
    <w:rsid w:val="00DB130F"/>
    <w:rsid w:val="00DB219B"/>
    <w:rsid w:val="00DB31B4"/>
    <w:rsid w:val="00DB4A38"/>
    <w:rsid w:val="00DB7555"/>
    <w:rsid w:val="00DC078B"/>
    <w:rsid w:val="00DC32E7"/>
    <w:rsid w:val="00DC425A"/>
    <w:rsid w:val="00DC42A1"/>
    <w:rsid w:val="00DC7385"/>
    <w:rsid w:val="00DD1ECA"/>
    <w:rsid w:val="00DD4BA6"/>
    <w:rsid w:val="00DD59B8"/>
    <w:rsid w:val="00DD5E1E"/>
    <w:rsid w:val="00DE0056"/>
    <w:rsid w:val="00DE3167"/>
    <w:rsid w:val="00DE34E5"/>
    <w:rsid w:val="00DF2E7B"/>
    <w:rsid w:val="00DF43C4"/>
    <w:rsid w:val="00DF4678"/>
    <w:rsid w:val="00DF5B6C"/>
    <w:rsid w:val="00E03498"/>
    <w:rsid w:val="00E035F1"/>
    <w:rsid w:val="00E11348"/>
    <w:rsid w:val="00E113FB"/>
    <w:rsid w:val="00E11FFC"/>
    <w:rsid w:val="00E13195"/>
    <w:rsid w:val="00E20184"/>
    <w:rsid w:val="00E25B20"/>
    <w:rsid w:val="00E278AB"/>
    <w:rsid w:val="00E30096"/>
    <w:rsid w:val="00E323B0"/>
    <w:rsid w:val="00E341E1"/>
    <w:rsid w:val="00E34E84"/>
    <w:rsid w:val="00E36408"/>
    <w:rsid w:val="00E36D48"/>
    <w:rsid w:val="00E37E21"/>
    <w:rsid w:val="00E409CF"/>
    <w:rsid w:val="00E40CEC"/>
    <w:rsid w:val="00E41BC8"/>
    <w:rsid w:val="00E42901"/>
    <w:rsid w:val="00E43D43"/>
    <w:rsid w:val="00E47F16"/>
    <w:rsid w:val="00E516EA"/>
    <w:rsid w:val="00E533CA"/>
    <w:rsid w:val="00E5446C"/>
    <w:rsid w:val="00E608D8"/>
    <w:rsid w:val="00E63D88"/>
    <w:rsid w:val="00E65BED"/>
    <w:rsid w:val="00E66866"/>
    <w:rsid w:val="00E73F2E"/>
    <w:rsid w:val="00E77096"/>
    <w:rsid w:val="00E770FB"/>
    <w:rsid w:val="00E906EA"/>
    <w:rsid w:val="00E95599"/>
    <w:rsid w:val="00E977D2"/>
    <w:rsid w:val="00EA2337"/>
    <w:rsid w:val="00EA2564"/>
    <w:rsid w:val="00EA3FDD"/>
    <w:rsid w:val="00EA48D9"/>
    <w:rsid w:val="00EB7ADE"/>
    <w:rsid w:val="00EC27F8"/>
    <w:rsid w:val="00ED120E"/>
    <w:rsid w:val="00ED3869"/>
    <w:rsid w:val="00ED4275"/>
    <w:rsid w:val="00ED5196"/>
    <w:rsid w:val="00ED6460"/>
    <w:rsid w:val="00EE0F13"/>
    <w:rsid w:val="00EE2595"/>
    <w:rsid w:val="00EE570F"/>
    <w:rsid w:val="00EF0780"/>
    <w:rsid w:val="00EF16A0"/>
    <w:rsid w:val="00EF29E7"/>
    <w:rsid w:val="00EF305C"/>
    <w:rsid w:val="00EF6531"/>
    <w:rsid w:val="00EF7B09"/>
    <w:rsid w:val="00EF7EAF"/>
    <w:rsid w:val="00F03A70"/>
    <w:rsid w:val="00F0582E"/>
    <w:rsid w:val="00F070F4"/>
    <w:rsid w:val="00F11E2D"/>
    <w:rsid w:val="00F169EB"/>
    <w:rsid w:val="00F204F1"/>
    <w:rsid w:val="00F23B18"/>
    <w:rsid w:val="00F23B63"/>
    <w:rsid w:val="00F24C9C"/>
    <w:rsid w:val="00F259D2"/>
    <w:rsid w:val="00F25B6D"/>
    <w:rsid w:val="00F275E9"/>
    <w:rsid w:val="00F30235"/>
    <w:rsid w:val="00F32BDE"/>
    <w:rsid w:val="00F34478"/>
    <w:rsid w:val="00F36266"/>
    <w:rsid w:val="00F368DB"/>
    <w:rsid w:val="00F37408"/>
    <w:rsid w:val="00F40214"/>
    <w:rsid w:val="00F40219"/>
    <w:rsid w:val="00F447DA"/>
    <w:rsid w:val="00F447EE"/>
    <w:rsid w:val="00F45866"/>
    <w:rsid w:val="00F473AD"/>
    <w:rsid w:val="00F52DC6"/>
    <w:rsid w:val="00F52E0C"/>
    <w:rsid w:val="00F53F06"/>
    <w:rsid w:val="00F564E8"/>
    <w:rsid w:val="00F57C33"/>
    <w:rsid w:val="00F65596"/>
    <w:rsid w:val="00F66D74"/>
    <w:rsid w:val="00F7379A"/>
    <w:rsid w:val="00F74E84"/>
    <w:rsid w:val="00F7752B"/>
    <w:rsid w:val="00F82564"/>
    <w:rsid w:val="00F84235"/>
    <w:rsid w:val="00F8692D"/>
    <w:rsid w:val="00F86DC8"/>
    <w:rsid w:val="00F875DE"/>
    <w:rsid w:val="00F91289"/>
    <w:rsid w:val="00F91C56"/>
    <w:rsid w:val="00FA001A"/>
    <w:rsid w:val="00FA2B62"/>
    <w:rsid w:val="00FA7C3D"/>
    <w:rsid w:val="00FC0AE0"/>
    <w:rsid w:val="00FC15D3"/>
    <w:rsid w:val="00FC3D6D"/>
    <w:rsid w:val="00FC6DCC"/>
    <w:rsid w:val="00FC7E87"/>
    <w:rsid w:val="00FD09EE"/>
    <w:rsid w:val="00FD1F0F"/>
    <w:rsid w:val="00FD2534"/>
    <w:rsid w:val="00FD6829"/>
    <w:rsid w:val="00FE0BD1"/>
    <w:rsid w:val="00FE1398"/>
    <w:rsid w:val="00FE3B2D"/>
    <w:rsid w:val="00FE562C"/>
    <w:rsid w:val="00FE6EBF"/>
    <w:rsid w:val="00FE73FA"/>
    <w:rsid w:val="00FF4C7C"/>
    <w:rsid w:val="00FF5054"/>
    <w:rsid w:val="00FF5F29"/>
    <w:rsid w:val="00FF68F6"/>
    <w:rsid w:val="00FF6D63"/>
    <w:rsid w:val="00FF77B6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36C8F"/>
  <w15:chartTrackingRefBased/>
  <w15:docId w15:val="{88D979F2-83F5-4092-9B11-67843A67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0D"/>
    <w:rPr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3B190D"/>
    <w:pPr>
      <w:keepNext/>
      <w:jc w:val="center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B190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locked/>
    <w:rsid w:val="003B190D"/>
    <w:rPr>
      <w:sz w:val="28"/>
      <w:szCs w:val="28"/>
      <w:lang w:val="uk-UA" w:eastAsia="ru-RU" w:bidi="ar-SA"/>
    </w:rPr>
  </w:style>
  <w:style w:type="paragraph" w:styleId="a5">
    <w:name w:val="header"/>
    <w:basedOn w:val="a"/>
    <w:rsid w:val="003B190D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3B190D"/>
  </w:style>
  <w:style w:type="paragraph" w:customStyle="1" w:styleId="StyleZakonu">
    <w:name w:val="StyleZakonu"/>
    <w:basedOn w:val="a"/>
    <w:link w:val="StyleZakonu0"/>
    <w:rsid w:val="00030E04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030E04"/>
    <w:rPr>
      <w:lang w:val="uk-UA" w:eastAsia="ru-RU" w:bidi="ar-SA"/>
    </w:rPr>
  </w:style>
  <w:style w:type="paragraph" w:styleId="a7">
    <w:name w:val="Balloon Text"/>
    <w:basedOn w:val="a"/>
    <w:link w:val="a8"/>
    <w:rsid w:val="0097109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97109A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32151B"/>
    <w:pPr>
      <w:ind w:left="708"/>
    </w:pPr>
  </w:style>
  <w:style w:type="paragraph" w:styleId="ab">
    <w:name w:val="footer"/>
    <w:basedOn w:val="a"/>
    <w:link w:val="ac"/>
    <w:uiPriority w:val="99"/>
    <w:rsid w:val="0077156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771566"/>
    <w:rPr>
      <w:sz w:val="24"/>
      <w:szCs w:val="24"/>
    </w:rPr>
  </w:style>
  <w:style w:type="character" w:styleId="ad">
    <w:name w:val="annotation reference"/>
    <w:uiPriority w:val="99"/>
    <w:rsid w:val="00C8119B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C8119B"/>
    <w:rPr>
      <w:sz w:val="20"/>
      <w:szCs w:val="20"/>
    </w:rPr>
  </w:style>
  <w:style w:type="character" w:customStyle="1" w:styleId="af">
    <w:name w:val="Текст примітки Знак"/>
    <w:link w:val="ae"/>
    <w:uiPriority w:val="99"/>
    <w:rsid w:val="00C8119B"/>
    <w:rPr>
      <w:lang w:val="uk-UA" w:eastAsia="uk-UA"/>
    </w:rPr>
  </w:style>
  <w:style w:type="character" w:customStyle="1" w:styleId="rvts37">
    <w:name w:val="rvts37"/>
    <w:rsid w:val="00C951BD"/>
  </w:style>
  <w:style w:type="character" w:customStyle="1" w:styleId="rvts0">
    <w:name w:val="rvts0"/>
    <w:rsid w:val="004F6411"/>
  </w:style>
  <w:style w:type="paragraph" w:customStyle="1" w:styleId="rvps2">
    <w:name w:val="rvps2"/>
    <w:basedOn w:val="a"/>
    <w:rsid w:val="00DC42A1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DC42A1"/>
    <w:rPr>
      <w:color w:val="0000FF"/>
      <w:u w:val="single"/>
    </w:rPr>
  </w:style>
  <w:style w:type="character" w:customStyle="1" w:styleId="aa">
    <w:name w:val="Абзац списку Знак"/>
    <w:link w:val="a9"/>
    <w:uiPriority w:val="34"/>
    <w:locked/>
    <w:rsid w:val="00DB130F"/>
    <w:rPr>
      <w:sz w:val="24"/>
      <w:szCs w:val="24"/>
    </w:rPr>
  </w:style>
  <w:style w:type="table" w:styleId="af1">
    <w:name w:val="Grid Table Light"/>
    <w:basedOn w:val="a1"/>
    <w:uiPriority w:val="40"/>
    <w:rsid w:val="00AF5F5F"/>
    <w:rPr>
      <w:rFonts w:asciiTheme="minorHAnsi" w:hAnsiTheme="minorHAnsi" w:cstheme="minorHAnsi"/>
      <w:sz w:val="22"/>
      <w:szCs w:val="22"/>
      <w:lang w:val="uk-UA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AF5F5F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rvts23">
    <w:name w:val="rvts23"/>
    <w:basedOn w:val="a0"/>
    <w:rsid w:val="0008679C"/>
  </w:style>
  <w:style w:type="paragraph" w:customStyle="1" w:styleId="rvps12">
    <w:name w:val="rvps12"/>
    <w:basedOn w:val="a"/>
    <w:rsid w:val="0008679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08679C"/>
    <w:pPr>
      <w:spacing w:before="100" w:beforeAutospacing="1" w:after="100" w:afterAutospacing="1"/>
    </w:pPr>
  </w:style>
  <w:style w:type="paragraph" w:styleId="af2">
    <w:name w:val="annotation subject"/>
    <w:basedOn w:val="ae"/>
    <w:next w:val="ae"/>
    <w:link w:val="af3"/>
    <w:rsid w:val="00DB4A38"/>
    <w:rPr>
      <w:b/>
      <w:bCs/>
    </w:rPr>
  </w:style>
  <w:style w:type="character" w:customStyle="1" w:styleId="af3">
    <w:name w:val="Тема примітки Знак"/>
    <w:basedOn w:val="af"/>
    <w:link w:val="af2"/>
    <w:rsid w:val="00DB4A38"/>
    <w:rPr>
      <w:b/>
      <w:bCs/>
      <w:lang w:val="uk-UA" w:eastAsia="uk-UA"/>
    </w:rPr>
  </w:style>
  <w:style w:type="paragraph" w:styleId="af4">
    <w:name w:val="Title"/>
    <w:basedOn w:val="a"/>
    <w:link w:val="af5"/>
    <w:uiPriority w:val="10"/>
    <w:qFormat/>
    <w:rsid w:val="00762245"/>
    <w:pPr>
      <w:ind w:left="5040" w:firstLine="720"/>
      <w:jc w:val="center"/>
    </w:pPr>
    <w:rPr>
      <w:b/>
      <w:szCs w:val="20"/>
      <w:lang w:val="ru-RU" w:eastAsia="ru-RU"/>
    </w:rPr>
  </w:style>
  <w:style w:type="character" w:customStyle="1" w:styleId="af5">
    <w:name w:val="Назва Знак"/>
    <w:basedOn w:val="a0"/>
    <w:link w:val="af4"/>
    <w:uiPriority w:val="10"/>
    <w:rsid w:val="0076224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AAB7-269B-4629-A42B-25C4C8DA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11040</Words>
  <Characters>6293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Порівняльна таблиця</vt:lpstr>
      <vt:lpstr>Порівняльна таблиця</vt:lpstr>
    </vt:vector>
  </TitlesOfParts>
  <Company>National Bank of Ukraine</Company>
  <LinksUpToDate>false</LinksUpToDate>
  <CharactersWithSpaces>17299</CharactersWithSpaces>
  <SharedDoc>false</SharedDoc>
  <HLinks>
    <vt:vector size="120" baseType="variant">
      <vt:variant>
        <vt:i4>4587550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n1542</vt:lpwstr>
      </vt:variant>
      <vt:variant>
        <vt:i4>4456473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n2251</vt:lpwstr>
      </vt:variant>
      <vt:variant>
        <vt:i4>7012387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https://zakon.rada.gov.ua/laws/show/4061-17</vt:lpwstr>
      </vt:variant>
      <vt:variant>
        <vt:lpwstr/>
      </vt:variant>
      <vt:variant>
        <vt:i4>4259870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4259870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4259870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4259870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4653085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n2660</vt:lpwstr>
      </vt:variant>
      <vt:variant>
        <vt:i4>6946848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https://zakon.rada.gov.ua/laws/show/1404-19</vt:lpwstr>
      </vt:variant>
      <vt:variant>
        <vt:lpwstr/>
      </vt:variant>
      <vt:variant>
        <vt:i4>4653085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n2660</vt:lpwstr>
      </vt:variant>
      <vt:variant>
        <vt:i4>6946848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https://zakon.rada.gov.ua/laws/show/1404-19</vt:lpwstr>
      </vt:variant>
      <vt:variant>
        <vt:lpwstr/>
      </vt:variant>
      <vt:variant>
        <vt:i4>4587544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n2378</vt:lpwstr>
      </vt:variant>
      <vt:variant>
        <vt:i4>4194334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  <vt:variant>
        <vt:i4>4194334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  <vt:variant>
        <vt:i4>4390936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n2321</vt:lpwstr>
      </vt:variant>
      <vt:variant>
        <vt:i4>4194334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n1528</vt:lpwstr>
      </vt:variant>
      <vt:variant>
        <vt:i4>4390936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n2321</vt:lpwstr>
      </vt:variant>
      <vt:variant>
        <vt:i4>4194334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n1528</vt:lpwstr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subject/>
  <dc:creator>k05561</dc:creator>
  <cp:keywords/>
  <cp:lastModifiedBy>Крутько Лілія Григорівна</cp:lastModifiedBy>
  <cp:revision>9</cp:revision>
  <cp:lastPrinted>2020-03-12T14:34:00Z</cp:lastPrinted>
  <dcterms:created xsi:type="dcterms:W3CDTF">2024-07-09T06:58:00Z</dcterms:created>
  <dcterms:modified xsi:type="dcterms:W3CDTF">2024-07-15T12:54:00Z</dcterms:modified>
</cp:coreProperties>
</file>