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26DC" w14:textId="77777777" w:rsidR="00465D3C" w:rsidRPr="00C00A56" w:rsidRDefault="00465D3C" w:rsidP="00465D3C">
      <w:pPr>
        <w:pStyle w:val="a3"/>
        <w:spacing w:line="240" w:lineRule="auto"/>
        <w:jc w:val="center"/>
        <w:rPr>
          <w:sz w:val="28"/>
          <w:szCs w:val="28"/>
        </w:rPr>
      </w:pPr>
      <w:r w:rsidRPr="00C00A56">
        <w:rPr>
          <w:sz w:val="28"/>
          <w:szCs w:val="28"/>
        </w:rPr>
        <w:t>Порівняльна таблиця</w:t>
      </w:r>
    </w:p>
    <w:p w14:paraId="330BBAD0" w14:textId="77777777" w:rsidR="00465D3C" w:rsidRPr="00C00A56" w:rsidRDefault="00465D3C" w:rsidP="00465D3C">
      <w:pPr>
        <w:pStyle w:val="a3"/>
        <w:spacing w:line="240" w:lineRule="auto"/>
        <w:jc w:val="center"/>
        <w:rPr>
          <w:sz w:val="28"/>
          <w:szCs w:val="28"/>
        </w:rPr>
      </w:pPr>
      <w:r w:rsidRPr="00C00A56">
        <w:rPr>
          <w:sz w:val="28"/>
          <w:szCs w:val="28"/>
        </w:rPr>
        <w:t xml:space="preserve">до </w:t>
      </w:r>
      <w:proofErr w:type="spellStart"/>
      <w:r w:rsidRPr="00C00A56">
        <w:rPr>
          <w:sz w:val="28"/>
          <w:szCs w:val="28"/>
        </w:rPr>
        <w:t>проєкту</w:t>
      </w:r>
      <w:proofErr w:type="spellEnd"/>
      <w:r w:rsidRPr="00C00A56">
        <w:rPr>
          <w:sz w:val="28"/>
          <w:szCs w:val="28"/>
        </w:rPr>
        <w:t xml:space="preserve"> постанови Правління Національного банку України</w:t>
      </w:r>
    </w:p>
    <w:p w14:paraId="640A7ED3" w14:textId="4C35508D" w:rsidR="00465D3C" w:rsidRPr="00C00A56" w:rsidRDefault="00E76A46" w:rsidP="00465D3C">
      <w:pPr>
        <w:tabs>
          <w:tab w:val="left" w:pos="7513"/>
        </w:tabs>
        <w:spacing w:after="0" w:line="240" w:lineRule="auto"/>
        <w:ind w:right="3" w:firstLine="567"/>
        <w:jc w:val="center"/>
        <w:rPr>
          <w:sz w:val="28"/>
          <w:szCs w:val="28"/>
        </w:rPr>
      </w:pPr>
      <w:r w:rsidRPr="005E4CD5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“</w:t>
      </w:r>
      <w:r w:rsidR="00465D3C" w:rsidRPr="00C00A5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Про затвердження Положення про розкриття інформації про страхового посередника та  порядок реалізації страхового продукту як додаткового до інших товарів, робіт або послуг, що не є страховими</w:t>
      </w:r>
      <w:r w:rsidR="00BE29D0" w:rsidRPr="00C00A5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, та </w:t>
      </w:r>
      <w:proofErr w:type="spellStart"/>
      <w:r w:rsidRPr="005E4CD5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та</w:t>
      </w:r>
      <w:proofErr w:type="spellEnd"/>
      <w:r w:rsidRPr="005E4CD5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внесення змін до деяких нормативно-правових актів Національного банку України</w:t>
      </w:r>
      <w:r w:rsidRPr="00C00A56" w:rsidDel="00E76A4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5D3C" w:rsidRPr="005E4CD5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”</w:t>
      </w:r>
    </w:p>
    <w:p w14:paraId="01B04683" w14:textId="77777777" w:rsidR="00465D3C" w:rsidRPr="00C00A56" w:rsidRDefault="00465D3C" w:rsidP="00465D3C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1"/>
        <w:gridCol w:w="7443"/>
      </w:tblGrid>
      <w:tr w:rsidR="00465D3C" w:rsidRPr="00C00A56" w14:paraId="5A3080C2" w14:textId="77777777" w:rsidTr="00DF3C87">
        <w:trPr>
          <w:tblHeader/>
        </w:trPr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CB9B" w14:textId="77777777" w:rsidR="00465D3C" w:rsidRPr="00C00A56" w:rsidRDefault="00465D3C" w:rsidP="00033E77">
            <w:pPr>
              <w:pStyle w:val="a3"/>
              <w:jc w:val="center"/>
              <w:rPr>
                <w:sz w:val="28"/>
                <w:szCs w:val="28"/>
              </w:rPr>
            </w:pPr>
            <w:r w:rsidRPr="00C00A56">
              <w:rPr>
                <w:sz w:val="28"/>
                <w:szCs w:val="28"/>
              </w:rPr>
              <w:t xml:space="preserve">Зміст положення (норми) чинного нормативно-правового </w:t>
            </w:r>
            <w:proofErr w:type="spellStart"/>
            <w:r w:rsidRPr="00C00A56">
              <w:rPr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E61B" w14:textId="77777777" w:rsidR="00465D3C" w:rsidRPr="00C00A56" w:rsidRDefault="00465D3C" w:rsidP="00033E77">
            <w:pPr>
              <w:pStyle w:val="a3"/>
              <w:jc w:val="center"/>
              <w:rPr>
                <w:sz w:val="28"/>
                <w:szCs w:val="28"/>
              </w:rPr>
            </w:pPr>
            <w:r w:rsidRPr="00C00A56">
              <w:rPr>
                <w:sz w:val="28"/>
                <w:szCs w:val="28"/>
              </w:rPr>
              <w:t xml:space="preserve">Зміст відповідного положення (норми) проекту нормативно-правового </w:t>
            </w:r>
            <w:proofErr w:type="spellStart"/>
            <w:r w:rsidRPr="00C00A56">
              <w:rPr>
                <w:sz w:val="28"/>
                <w:szCs w:val="28"/>
              </w:rPr>
              <w:t>акта</w:t>
            </w:r>
            <w:proofErr w:type="spellEnd"/>
          </w:p>
        </w:tc>
      </w:tr>
      <w:tr w:rsidR="00465D3C" w:rsidRPr="00C00A56" w14:paraId="2B02D51C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827F" w14:textId="77777777" w:rsidR="00465D3C" w:rsidRPr="00C00A56" w:rsidRDefault="00465D3C" w:rsidP="00033E77">
            <w:pPr>
              <w:pStyle w:val="a3"/>
              <w:jc w:val="center"/>
              <w:rPr>
                <w:sz w:val="28"/>
                <w:szCs w:val="28"/>
              </w:rPr>
            </w:pPr>
            <w:r w:rsidRPr="00C00A56">
              <w:rPr>
                <w:sz w:val="28"/>
                <w:szCs w:val="28"/>
              </w:rPr>
              <w:t>1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0AD1" w14:textId="77777777" w:rsidR="00465D3C" w:rsidRPr="00C00A56" w:rsidRDefault="00465D3C" w:rsidP="00033E77">
            <w:pPr>
              <w:pStyle w:val="a3"/>
              <w:jc w:val="center"/>
              <w:rPr>
                <w:sz w:val="28"/>
                <w:szCs w:val="28"/>
              </w:rPr>
            </w:pPr>
            <w:r w:rsidRPr="00C00A56">
              <w:rPr>
                <w:sz w:val="28"/>
                <w:szCs w:val="28"/>
              </w:rPr>
              <w:t>2</w:t>
            </w:r>
          </w:p>
        </w:tc>
      </w:tr>
      <w:tr w:rsidR="00CA1861" w:rsidRPr="00C00A56" w14:paraId="732407D1" w14:textId="77777777" w:rsidTr="00033E77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4789" w14:textId="185448FB" w:rsidR="00CA1861" w:rsidRPr="00C00A56" w:rsidRDefault="00CA1861" w:rsidP="00977332">
            <w:pPr>
              <w:spacing w:after="0" w:line="240" w:lineRule="auto"/>
              <w:ind w:left="35"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Постанова Правління Національного банку України “Про затвердження 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вебсайтах</w:t>
            </w:r>
            <w:proofErr w:type="spellEnd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страховиків та страхових посередників ” від 20 грудня 2023 року № 174</w:t>
            </w:r>
          </w:p>
        </w:tc>
      </w:tr>
      <w:tr w:rsidR="00CA1861" w:rsidRPr="00C00A56" w14:paraId="7E885B6F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4870" w14:textId="77777777" w:rsidR="00CA1861" w:rsidRPr="00C00A56" w:rsidRDefault="00CA1861" w:rsidP="00CA1861">
            <w:pPr>
              <w:spacing w:after="0" w:line="240" w:lineRule="auto"/>
              <w:ind w:left="35"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Положення</w:t>
            </w:r>
          </w:p>
          <w:p w14:paraId="63261FE0" w14:textId="208BFBE3" w:rsidR="00CA1861" w:rsidRPr="00C00A56" w:rsidRDefault="00CA1861" w:rsidP="00CA1861">
            <w:pPr>
              <w:spacing w:after="0" w:line="240" w:lineRule="auto"/>
              <w:ind w:left="35"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розкриття інформації </w:t>
            </w:r>
            <w:r w:rsidRPr="00AD5D0C"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</w:rPr>
              <w:t>та</w:t>
            </w: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вебсайтах</w:t>
            </w:r>
            <w:proofErr w:type="spellEnd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страховиків та страхових посередників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56BF" w14:textId="77777777" w:rsidR="00CA1861" w:rsidRPr="00C00A56" w:rsidRDefault="00CA1861" w:rsidP="00CA1861">
            <w:pPr>
              <w:spacing w:after="0" w:line="240" w:lineRule="auto"/>
              <w:ind w:left="35"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Положення</w:t>
            </w:r>
          </w:p>
          <w:p w14:paraId="45D20953" w14:textId="2EBE653F" w:rsidR="00CA1861" w:rsidRDefault="00CA1861" w:rsidP="00CA1861">
            <w:pPr>
              <w:spacing w:after="0" w:line="240" w:lineRule="auto"/>
              <w:ind w:left="35"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розкриття інформації </w:t>
            </w:r>
            <w:r w:rsidRPr="00C00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 страховика та страховий продукт</w:t>
            </w:r>
            <w:r w:rsidR="00947D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вебсайтах</w:t>
            </w:r>
            <w:proofErr w:type="spellEnd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страховиків та страхових посередників</w:t>
            </w:r>
          </w:p>
          <w:p w14:paraId="508F57DF" w14:textId="77777777" w:rsidR="00071B6E" w:rsidRDefault="00071B6E" w:rsidP="00CA1861">
            <w:pPr>
              <w:spacing w:after="0" w:line="240" w:lineRule="auto"/>
              <w:ind w:left="35"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A1B422" w14:textId="262AED31" w:rsidR="00071B6E" w:rsidRPr="00C00A56" w:rsidRDefault="00071B6E" w:rsidP="00071B6E">
            <w:pPr>
              <w:spacing w:after="0" w:line="240" w:lineRule="auto"/>
              <w:ind w:left="35" w:right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B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З метою уточнення, що предметом регулювання Положення є розкриття інформації про страховика та страховий продукт</w:t>
            </w:r>
          </w:p>
        </w:tc>
      </w:tr>
      <w:tr w:rsidR="00CA1861" w:rsidRPr="00C00A56" w14:paraId="6736B02E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DBF4" w14:textId="0412E646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Затвердити Положення про розкриття інформації </w:t>
            </w:r>
            <w:r w:rsidRPr="00AD5D0C"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</w:rPr>
              <w:t>та</w:t>
            </w: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вебсайтах</w:t>
            </w:r>
            <w:proofErr w:type="spellEnd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страховиків та страхових посередників (далі – Положення), що додається.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DB24" w14:textId="593EE505" w:rsidR="00CA1861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Затвердити Положення про розкриття інформації</w:t>
            </w:r>
            <w:r w:rsidRPr="00C00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про страховика та страховий продук</w:t>
            </w:r>
            <w:r w:rsidRPr="00947D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947DC1" w:rsidRPr="00AD5D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947D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вебсайтах</w:t>
            </w:r>
            <w:proofErr w:type="spellEnd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страховиків та страхових посередників (далі – Положення), що додається.</w:t>
            </w:r>
          </w:p>
          <w:p w14:paraId="03129BEA" w14:textId="77777777" w:rsidR="00071B6E" w:rsidRDefault="00071B6E" w:rsidP="00CA1861">
            <w:pPr>
              <w:spacing w:after="0" w:line="240" w:lineRule="auto"/>
              <w:ind w:left="35" w:right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64FC7A" w14:textId="3DFD8F41" w:rsidR="00071B6E" w:rsidRPr="00071B6E" w:rsidRDefault="00071B6E" w:rsidP="00CA1861">
            <w:pPr>
              <w:spacing w:after="0" w:line="240" w:lineRule="auto"/>
              <w:ind w:left="35" w:right="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B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З метою уточнення, що предметом регулювання Положення є розкриття інформації про страховика та страховий продукт</w:t>
            </w:r>
          </w:p>
        </w:tc>
      </w:tr>
      <w:tr w:rsidR="00CA1861" w:rsidRPr="00C00A56" w14:paraId="7ABEBD9F" w14:textId="77777777" w:rsidTr="00033E77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3A78" w14:textId="2BDDADAC" w:rsidR="00CA1861" w:rsidRPr="00C00A56" w:rsidRDefault="00CA1861" w:rsidP="00CA1861">
            <w:pPr>
              <w:spacing w:after="0" w:line="240" w:lineRule="auto"/>
              <w:ind w:left="35"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вебсайтах</w:t>
            </w:r>
            <w:proofErr w:type="spellEnd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страховиків та страхових посередників</w:t>
            </w:r>
          </w:p>
        </w:tc>
      </w:tr>
      <w:tr w:rsidR="00CA1861" w:rsidRPr="00C00A56" w14:paraId="1AF31A11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69BC" w14:textId="50B0FBCD" w:rsidR="00CA1861" w:rsidRPr="00C00A56" w:rsidRDefault="00CA1861" w:rsidP="00CA1861">
            <w:pPr>
              <w:spacing w:after="0" w:line="240" w:lineRule="auto"/>
              <w:ind w:left="35" w:right="1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Положення про розкриття інформації </w:t>
            </w:r>
            <w:r w:rsidRPr="002166A2"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</w:rPr>
              <w:t>та</w:t>
            </w: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вебсайтах</w:t>
            </w:r>
            <w:proofErr w:type="spellEnd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страховиків та страхових посередників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AE7E" w14:textId="5CE4E76D" w:rsidR="00CA1861" w:rsidRPr="00C00A56" w:rsidRDefault="00CA1861" w:rsidP="00CA1861">
            <w:pPr>
              <w:spacing w:after="0" w:line="240" w:lineRule="auto"/>
              <w:ind w:left="35"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Положення про розкриття інформації </w:t>
            </w:r>
            <w:r w:rsidRPr="00C00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 страховика та страховий продукт</w:t>
            </w:r>
            <w:r w:rsidR="00947DC1" w:rsidRPr="002166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947D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вебсайтах</w:t>
            </w:r>
            <w:proofErr w:type="spellEnd"/>
            <w:r w:rsidRPr="00C00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страховиків та страхових посередників</w:t>
            </w:r>
          </w:p>
          <w:p w14:paraId="7A591365" w14:textId="77777777" w:rsidR="00CA1861" w:rsidRPr="00C00A56" w:rsidRDefault="00CA1861" w:rsidP="00CA1861">
            <w:pPr>
              <w:spacing w:after="0" w:line="240" w:lineRule="auto"/>
              <w:ind w:left="35" w:right="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741269" w14:textId="43E778BF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A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З метою уточнення, що вимоги Положення стосуються розкриття інформації про страховика та страховий продукт (уключаючи стандартний страховий продукт та страховий продукт, що не є стандартним)</w:t>
            </w:r>
          </w:p>
        </w:tc>
      </w:tr>
      <w:tr w:rsidR="00CA1861" w:rsidRPr="00C00A56" w14:paraId="0A710CE2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57C5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4. Страховик та страховий посередник </w:t>
            </w:r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 xml:space="preserve">(за наявності власного </w:t>
            </w:r>
            <w:proofErr w:type="spellStart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вебсайту</w:t>
            </w:r>
            <w:proofErr w:type="spellEnd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)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зобов’язані забезпечити споживача доступною та вичерпною інформацією про страховика та страховий продукт з метою прийняття споживачем усвідомленого рішення про укладення договору страхування </w:t>
            </w:r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шляхом розміщення такої інформації</w:t>
            </w:r>
            <w:r w:rsidRPr="00C00A56">
              <w:rPr>
                <w:rFonts w:ascii="Times New Roman" w:eastAsia="SimSun" w:hAnsi="Times New Roman" w:cs="Times New Roman"/>
                <w:strike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 xml:space="preserve">на власному </w:t>
            </w:r>
            <w:proofErr w:type="spellStart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, включаючи його мобільну версію, та в програмному застосунку (за наявності)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, з урахуванням вимог законодавства України.</w:t>
            </w:r>
          </w:p>
          <w:p w14:paraId="373807BE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Страховий брокер зобов’язаний забезпечити споживача інформацією про страховий продукт шляхом розміщення такої інформації на власному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, включаючи його мобільну версію, та в програмному застосунку (за наявності) виключно у випадку, коли він отримує винагороду за реалізацію страхового продукту від страховика</w:t>
            </w:r>
          </w:p>
          <w:p w14:paraId="11681902" w14:textId="5DD516B0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A1DC" w14:textId="6843FF3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sz w:val="28"/>
                <w:szCs w:val="28"/>
              </w:rPr>
              <w:t xml:space="preserve">4. 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Страховик та страховий посередник зобов’язані забезпечити споживача</w:t>
            </w:r>
            <w:r w:rsidR="00A70450"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70450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 порядку, передбаченому цим Положенням</w:t>
            </w:r>
            <w:r w:rsidR="00E618BB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,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доступною та вичерпною інформацією про страховика та страховий продукт з метою прийняття споживачем усвідомленого рішення про укладення договору страхування, з урахуванням вимог законодавства України.</w:t>
            </w:r>
          </w:p>
          <w:p w14:paraId="0D349112" w14:textId="1E588DDF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03783917" w14:textId="3632D01E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484C8224" w14:textId="6A3C4E0B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Страховий брокер зобов’язаний забезпечити споживача інформацією про страховий продукт шляхом розміщення такої інформації на власному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(за наявності)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, включаючи його мобільну версію, та в програмному застосунку (за наявності) виключно у випадку, коли він отримує винагороду за реалізацію страхового продукту від страховика</w:t>
            </w:r>
          </w:p>
          <w:p w14:paraId="6BDE7DAA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1941EDE" w14:textId="17EFC656" w:rsidR="00CA1861" w:rsidRPr="00A37D7A" w:rsidRDefault="00A37D7A" w:rsidP="00A37D7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Cs w:val="28"/>
              </w:rPr>
              <w:t>З</w:t>
            </w:r>
            <w:r w:rsidR="00CA1861" w:rsidRPr="00A37D7A">
              <w:rPr>
                <w:i/>
                <w:szCs w:val="28"/>
              </w:rPr>
              <w:t xml:space="preserve"> метою уточнення, що інформація про страховий продукт, що не є стандартним може розміщуватися в інші способи, аніж шляхом </w:t>
            </w:r>
            <w:r w:rsidR="00CA1861" w:rsidRPr="00A37D7A">
              <w:rPr>
                <w:i/>
                <w:szCs w:val="28"/>
              </w:rPr>
              <w:lastRenderedPageBreak/>
              <w:t xml:space="preserve">розкриття такої інформації на власному </w:t>
            </w:r>
            <w:proofErr w:type="spellStart"/>
            <w:r w:rsidR="00CA1861" w:rsidRPr="00A37D7A">
              <w:rPr>
                <w:i/>
                <w:szCs w:val="28"/>
              </w:rPr>
              <w:t>вебсайті</w:t>
            </w:r>
            <w:proofErr w:type="spellEnd"/>
            <w:r w:rsidR="00CA1861" w:rsidRPr="00A37D7A">
              <w:rPr>
                <w:i/>
                <w:szCs w:val="28"/>
              </w:rPr>
              <w:t xml:space="preserve">, а також </w:t>
            </w:r>
            <w:proofErr w:type="spellStart"/>
            <w:r w:rsidR="00CA1861" w:rsidRPr="00A37D7A">
              <w:rPr>
                <w:i/>
                <w:szCs w:val="28"/>
              </w:rPr>
              <w:t>утчонення</w:t>
            </w:r>
            <w:proofErr w:type="spellEnd"/>
            <w:r w:rsidR="00CA1861" w:rsidRPr="00A37D7A">
              <w:rPr>
                <w:i/>
                <w:szCs w:val="28"/>
              </w:rPr>
              <w:t xml:space="preserve">, що інформація на </w:t>
            </w:r>
            <w:proofErr w:type="spellStart"/>
            <w:r w:rsidR="00CA1861" w:rsidRPr="00A37D7A">
              <w:rPr>
                <w:i/>
                <w:szCs w:val="28"/>
              </w:rPr>
              <w:t>вебсайті</w:t>
            </w:r>
            <w:proofErr w:type="spellEnd"/>
            <w:r w:rsidR="00CA1861" w:rsidRPr="00A37D7A">
              <w:rPr>
                <w:i/>
                <w:szCs w:val="28"/>
              </w:rPr>
              <w:t xml:space="preserve"> страхового брокера має розміщуватися за наявності у нього власного </w:t>
            </w:r>
            <w:proofErr w:type="spellStart"/>
            <w:r w:rsidR="00CA1861" w:rsidRPr="00A37D7A">
              <w:rPr>
                <w:i/>
                <w:szCs w:val="28"/>
              </w:rPr>
              <w:t>вебсайту</w:t>
            </w:r>
            <w:proofErr w:type="spellEnd"/>
          </w:p>
        </w:tc>
      </w:tr>
      <w:tr w:rsidR="00CA1861" w:rsidRPr="00C00A56" w14:paraId="62FD97A8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144C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5. Страховик розміщує</w:t>
            </w:r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 xml:space="preserve"> інформацію про черговість задоволення вимог споживачів за договорами страхування, які можуть виникнути в разі визнання страховика банкрутом, відповідно до частини дев’ятої статті 92 Кодексу України з процедур банкрутства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 окремій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вебсторінці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з інформацією про страховика на власному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, включаючи його мобільну версію, та в програмному застосунку (за наявності), </w:t>
            </w:r>
            <w:r w:rsidRPr="00AD5D0C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якщо така інформація не надається споживачу в паперовій формі, засобами електронної пошти, шляхом надання доступу до такої інформації через особистий кабінет споживача або в інший спосіб за домовленістю з клієнтом, за умови можливості підтвердження факту надання інформації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99E0" w14:textId="601CA65B" w:rsidR="00CA1861" w:rsidRPr="00C00A56" w:rsidRDefault="00CA1861" w:rsidP="00CA1861">
            <w:pPr>
              <w:pStyle w:val="ae"/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C00A56">
              <w:rPr>
                <w:sz w:val="28"/>
                <w:szCs w:val="28"/>
              </w:rPr>
              <w:t>5. Страховик</w:t>
            </w:r>
            <w:r w:rsidRPr="00C00A56">
              <w:rPr>
                <w:b/>
                <w:sz w:val="28"/>
                <w:szCs w:val="28"/>
              </w:rPr>
              <w:t xml:space="preserve"> </w:t>
            </w:r>
            <w:r w:rsidRPr="00C00A56">
              <w:rPr>
                <w:sz w:val="28"/>
                <w:szCs w:val="28"/>
              </w:rPr>
              <w:t xml:space="preserve">розміщує на окремій </w:t>
            </w:r>
            <w:proofErr w:type="spellStart"/>
            <w:r w:rsidRPr="00C00A56">
              <w:rPr>
                <w:sz w:val="28"/>
                <w:szCs w:val="28"/>
              </w:rPr>
              <w:t>вебсторінці</w:t>
            </w:r>
            <w:proofErr w:type="spellEnd"/>
            <w:r w:rsidRPr="00C00A56">
              <w:rPr>
                <w:sz w:val="28"/>
                <w:szCs w:val="28"/>
              </w:rPr>
              <w:t xml:space="preserve"> з інформацією про страховика на власному </w:t>
            </w:r>
            <w:proofErr w:type="spellStart"/>
            <w:r w:rsidRPr="00C00A56">
              <w:rPr>
                <w:sz w:val="28"/>
                <w:szCs w:val="28"/>
              </w:rPr>
              <w:t>вебсайті</w:t>
            </w:r>
            <w:proofErr w:type="spellEnd"/>
            <w:r w:rsidRPr="00C00A56">
              <w:rPr>
                <w:sz w:val="28"/>
                <w:szCs w:val="28"/>
              </w:rPr>
              <w:t>, включаючи його мобільну версію, та в програмному застосунку (за наявності)</w:t>
            </w:r>
            <w:r w:rsidRPr="00C00A56">
              <w:rPr>
                <w:b/>
                <w:sz w:val="28"/>
                <w:szCs w:val="28"/>
              </w:rPr>
              <w:t>, інформацію про:</w:t>
            </w:r>
          </w:p>
          <w:p w14:paraId="146E004B" w14:textId="77777777" w:rsidR="00CA1861" w:rsidRPr="00C00A56" w:rsidRDefault="00CA1861" w:rsidP="00CA1861">
            <w:pPr>
              <w:pStyle w:val="ae"/>
              <w:spacing w:after="0" w:line="240" w:lineRule="auto"/>
              <w:ind w:left="0" w:firstLine="567"/>
              <w:rPr>
                <w:sz w:val="28"/>
                <w:szCs w:val="28"/>
              </w:rPr>
            </w:pPr>
          </w:p>
          <w:p w14:paraId="5B0DEF86" w14:textId="77777777" w:rsidR="00CA1861" w:rsidRPr="00C00A56" w:rsidRDefault="00CA1861" w:rsidP="00CA1861">
            <w:pPr>
              <w:pStyle w:val="ae"/>
              <w:numPr>
                <w:ilvl w:val="0"/>
                <w:numId w:val="12"/>
              </w:numPr>
              <w:suppressAutoHyphens w:val="0"/>
              <w:spacing w:after="0" w:line="240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>черговість задоволення вимог споживачів за договорами страхування, які можуть виникнути в разі визнання страховика банкрутом, відповідно до частини дев’ятої статті 92 Кодексу України з процедур банкрутства;</w:t>
            </w:r>
          </w:p>
          <w:p w14:paraId="40AABCF3" w14:textId="77777777" w:rsidR="00CA1861" w:rsidRPr="00C00A56" w:rsidRDefault="00CA1861" w:rsidP="00CA1861">
            <w:pPr>
              <w:pStyle w:val="ae"/>
              <w:suppressAutoHyphens w:val="0"/>
              <w:spacing w:after="0" w:line="240" w:lineRule="auto"/>
              <w:ind w:left="567"/>
              <w:jc w:val="both"/>
              <w:rPr>
                <w:b/>
                <w:sz w:val="28"/>
                <w:szCs w:val="28"/>
              </w:rPr>
            </w:pPr>
          </w:p>
          <w:p w14:paraId="711F84E0" w14:textId="0E42127B" w:rsidR="00CA1861" w:rsidRPr="00C00A56" w:rsidRDefault="00CA1861" w:rsidP="00CA1861">
            <w:pPr>
              <w:pStyle w:val="ae"/>
              <w:numPr>
                <w:ilvl w:val="0"/>
                <w:numId w:val="12"/>
              </w:numPr>
              <w:suppressAutoHyphens w:val="0"/>
              <w:spacing w:after="0" w:line="240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порядок обробки персональних даних споживачів</w:t>
            </w:r>
            <w:r w:rsidR="00AD5D0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та дії страховика щодо їх захисту</w:t>
            </w:r>
            <w:r w:rsidRPr="00C00A56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613973F8" w14:textId="77777777" w:rsidR="00CA1861" w:rsidRPr="00C00A56" w:rsidRDefault="00CA1861" w:rsidP="00CA186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14:paraId="3D189965" w14:textId="724EC590" w:rsidR="00AD5D0C" w:rsidRDefault="00E618BB" w:rsidP="00CA1861">
            <w:pPr>
              <w:pStyle w:val="ae"/>
              <w:numPr>
                <w:ilvl w:val="0"/>
                <w:numId w:val="12"/>
              </w:numPr>
              <w:suppressAutoHyphens w:val="0"/>
              <w:spacing w:after="0" w:line="240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E618B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контакти, за якими споживач має право звернутися до страховика, Національного банку України та інших уповноважених державних органів</w:t>
            </w:r>
            <w:r w:rsidR="00CA1861" w:rsidRPr="00C00A56">
              <w:rPr>
                <w:b/>
                <w:sz w:val="28"/>
                <w:szCs w:val="28"/>
              </w:rPr>
              <w:t>.</w:t>
            </w:r>
          </w:p>
          <w:p w14:paraId="778E46CE" w14:textId="52FE2CB5" w:rsidR="00AD5D0C" w:rsidRPr="00683A1B" w:rsidRDefault="00AD5D0C" w:rsidP="00683A1B">
            <w:pPr>
              <w:pStyle w:val="ae"/>
              <w:spacing w:after="0" w:line="240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683A1B">
              <w:rPr>
                <w:b/>
                <w:sz w:val="28"/>
                <w:szCs w:val="28"/>
              </w:rPr>
              <w:t xml:space="preserve">Інформація, зазначена в підпунктах 1 – 3 пункту 5 цього Положення, розміщується на власному </w:t>
            </w:r>
            <w:proofErr w:type="spellStart"/>
            <w:r w:rsidRPr="00683A1B">
              <w:rPr>
                <w:b/>
                <w:sz w:val="28"/>
                <w:szCs w:val="28"/>
              </w:rPr>
              <w:t>вебсайті</w:t>
            </w:r>
            <w:proofErr w:type="spellEnd"/>
            <w:r w:rsidRPr="00683A1B">
              <w:rPr>
                <w:b/>
                <w:sz w:val="28"/>
                <w:szCs w:val="28"/>
              </w:rPr>
              <w:t xml:space="preserve"> страховика, включаючи його мобільну версію, та в програмному застосунку (за наявності),  якщо така інформація не надається споживачу в паперовій </w:t>
            </w:r>
            <w:r w:rsidR="0010604D" w:rsidRPr="0010604D">
              <w:rPr>
                <w:b/>
                <w:sz w:val="28"/>
                <w:szCs w:val="28"/>
              </w:rPr>
              <w:t>або електронній</w:t>
            </w:r>
            <w:r w:rsidR="0010604D" w:rsidRPr="00563BDD">
              <w:rPr>
                <w:szCs w:val="28"/>
              </w:rPr>
              <w:t xml:space="preserve"> </w:t>
            </w:r>
            <w:r w:rsidRPr="00683A1B">
              <w:rPr>
                <w:b/>
                <w:sz w:val="28"/>
                <w:szCs w:val="28"/>
              </w:rPr>
              <w:t xml:space="preserve">формі, </w:t>
            </w:r>
            <w:r w:rsidR="0010604D" w:rsidRPr="0010604D">
              <w:rPr>
                <w:b/>
                <w:sz w:val="28"/>
                <w:szCs w:val="28"/>
              </w:rPr>
              <w:t xml:space="preserve">у тому числі </w:t>
            </w:r>
            <w:r w:rsidRPr="00683A1B">
              <w:rPr>
                <w:b/>
                <w:sz w:val="28"/>
                <w:szCs w:val="28"/>
              </w:rPr>
              <w:t xml:space="preserve">засобами електронної пошти, шляхом надання доступу до такої інформації через особистий кабінет споживача або в інший спосіб за </w:t>
            </w:r>
            <w:r w:rsidRPr="00683A1B">
              <w:rPr>
                <w:b/>
                <w:sz w:val="28"/>
                <w:szCs w:val="28"/>
              </w:rPr>
              <w:lastRenderedPageBreak/>
              <w:t>домовленістю з</w:t>
            </w:r>
            <w:r w:rsidR="005522B6">
              <w:rPr>
                <w:b/>
                <w:sz w:val="28"/>
                <w:szCs w:val="28"/>
              </w:rPr>
              <w:t>і</w:t>
            </w:r>
            <w:r w:rsidRPr="00683A1B">
              <w:rPr>
                <w:b/>
                <w:sz w:val="28"/>
                <w:szCs w:val="28"/>
              </w:rPr>
              <w:t xml:space="preserve"> </w:t>
            </w:r>
            <w:r w:rsidR="005522B6">
              <w:rPr>
                <w:b/>
                <w:sz w:val="28"/>
                <w:szCs w:val="28"/>
              </w:rPr>
              <w:t>споживачем</w:t>
            </w:r>
            <w:r w:rsidRPr="00683A1B">
              <w:rPr>
                <w:b/>
                <w:sz w:val="28"/>
                <w:szCs w:val="28"/>
              </w:rPr>
              <w:t>, за умови можливості підтвердження факту надання інформації.</w:t>
            </w:r>
          </w:p>
          <w:p w14:paraId="76657DC5" w14:textId="4626D23E" w:rsidR="00CA1861" w:rsidRPr="00C00A56" w:rsidRDefault="00CA1861" w:rsidP="00683A1B">
            <w:pPr>
              <w:pStyle w:val="ae"/>
              <w:suppressAutoHyphens w:val="0"/>
              <w:spacing w:after="0" w:line="240" w:lineRule="auto"/>
              <w:ind w:left="567"/>
              <w:jc w:val="both"/>
              <w:rPr>
                <w:b/>
                <w:sz w:val="28"/>
                <w:szCs w:val="28"/>
              </w:rPr>
            </w:pPr>
          </w:p>
          <w:p w14:paraId="47604121" w14:textId="77777777" w:rsidR="00CA1861" w:rsidRPr="00C00A56" w:rsidRDefault="00CA1861" w:rsidP="00CA1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</w:pPr>
          </w:p>
          <w:p w14:paraId="6BE8F4A0" w14:textId="63282094" w:rsidR="00CA1861" w:rsidRPr="00C00A56" w:rsidRDefault="00CA1861" w:rsidP="00AD5D0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з метою гармонізації  вимог щодо розкриття інформації </w:t>
            </w:r>
            <w:r w:rsidR="00AD5D0C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про</w:t>
            </w:r>
            <w:r w:rsidR="00AD5D0C"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обробк</w:t>
            </w:r>
            <w:r w:rsidR="00AD5D0C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у</w:t>
            </w: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 та захист персональних даних споживачів та контактів, за якими споживач має право подати звернення, для страховиків та страхових посередників</w:t>
            </w:r>
          </w:p>
        </w:tc>
      </w:tr>
      <w:tr w:rsidR="00CA1861" w:rsidRPr="00C00A56" w14:paraId="17804D25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3A77" w14:textId="2C14A9D1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6. Страховик та страховий посередник (за наявності власного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вебсайту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) розкривають інформацію за кожним страховим продуктом на окремій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вебсторінці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з інформацією про такий страховий продукт на власному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(далі –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вебсторінка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з інформацією про страховий продукт), включаючи його мобільну версію, та в програмному застосунку (якщо страховик та/або страховий посередник використовують </w:t>
            </w:r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мобільний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застосунок для реалізації страхових продуктів).</w:t>
            </w:r>
          </w:p>
          <w:p w14:paraId="0558CDC5" w14:textId="212BF5FC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Абзац відсутній</w:t>
            </w:r>
          </w:p>
          <w:p w14:paraId="2E8888F5" w14:textId="46FAF2A0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243AB2E0" w14:textId="7AED118A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73C6D6FD" w14:textId="2E328B7E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641E23AF" w14:textId="734BD247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3ECEE89A" w14:textId="22BE2AB2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7478C4D4" w14:textId="5823F4DF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7675F297" w14:textId="25E8740F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61B917D3" w14:textId="14D3D238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1D347CA5" w14:textId="1658998B" w:rsidR="00E75A29" w:rsidRPr="00C00A56" w:rsidRDefault="00E75A29" w:rsidP="00E75A29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Абзац відсутній</w:t>
            </w:r>
          </w:p>
          <w:p w14:paraId="43D4006E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4233" w14:textId="2BE07073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6. Страховик та страховий посередник (за наявності власного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вебсайту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) розкривають інформацію за кожним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стандартним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страховим продуктом на окремій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вебсторінці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з інформацією про такий страховий продукт на власному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(далі –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вебсторінка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з інформацією про страховий продукт), включаючи його мобільну версію, та в програмному застосунку (якщо страховик та/або страховий посередник використовують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програмний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застосунок для реалізації страхових продуктів).</w:t>
            </w:r>
          </w:p>
          <w:p w14:paraId="19EE0A77" w14:textId="7C05FE48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Страховий посередник за відсутності власного </w:t>
            </w:r>
            <w:proofErr w:type="spellStart"/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вебсайту</w:t>
            </w:r>
            <w:proofErr w:type="spellEnd"/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розкриває інформацію за кожним стандартним страховим продуктом</w:t>
            </w:r>
            <w:r w:rsidR="00524FA6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до  укладення договору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24FA6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страхування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шляхом її надання в паперовій або електронній формі, у тому числі засобами електронної пошти</w:t>
            </w:r>
            <w:r w:rsidR="00A70450" w:rsidRPr="00C00A56">
              <w:rPr>
                <w:rFonts w:eastAsia="SimSun"/>
                <w:szCs w:val="28"/>
                <w:lang w:eastAsia="en-US"/>
              </w:rPr>
              <w:t xml:space="preserve"> </w:t>
            </w:r>
            <w:r w:rsidR="00A70450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та/або шляхом надання посилання на інформацію, що розміщується на </w:t>
            </w:r>
            <w:proofErr w:type="spellStart"/>
            <w:r w:rsidR="00A70450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вебсайті</w:t>
            </w:r>
            <w:proofErr w:type="spellEnd"/>
            <w:r w:rsidR="00A70450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страховика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та/або шляхом надання доступу до такої інформації через особистий кабінет </w:t>
            </w:r>
            <w:r w:rsidR="005522B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споживача</w:t>
            </w:r>
            <w:r w:rsidR="005522B6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чи програмний застосунок, або в інший спосіб за домовленістю зі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споживачем, за умови можливості підтвердження факту надання інформації.</w:t>
            </w:r>
          </w:p>
          <w:p w14:paraId="5C1431D3" w14:textId="0CF90AE4" w:rsidR="00CA1861" w:rsidRPr="00C00A56" w:rsidRDefault="00CA1861" w:rsidP="003771E3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Страховик та страховий посередник розкривають інформацію за кожним страховим продуктом, що не є стандартним, </w:t>
            </w:r>
            <w:r w:rsidR="00524FA6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до укладення договору страхування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шляхом її надання в паперовій або електронній формі, у тому числі засобами електронної пошти та/або шляхом надання посилання на інформацію, що розміщується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страховика (страхового посередника), та/або шляхом надання доступу до такої інформації через особистий кабінет </w:t>
            </w:r>
            <w:r w:rsidR="005522B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споживача</w:t>
            </w:r>
            <w:r w:rsidR="005522B6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чи програмний застосунок, або в інший спосіб за домовленістю зі споживачем, за умови можливості підтвердження факту надання інформації.</w:t>
            </w:r>
          </w:p>
          <w:p w14:paraId="649AC156" w14:textId="22101CC4" w:rsidR="00CA1861" w:rsidRPr="00C00A56" w:rsidRDefault="00CA1861" w:rsidP="00BE29D0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1C183ED4" w14:textId="77777777" w:rsidR="00CA1861" w:rsidRPr="00C00A56" w:rsidRDefault="00CA1861" w:rsidP="00CA1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З метою уточнення, що:</w:t>
            </w:r>
          </w:p>
          <w:p w14:paraId="3DB7F2D6" w14:textId="77777777" w:rsidR="00CA1861" w:rsidRPr="00C00A56" w:rsidRDefault="00CA1861" w:rsidP="00CA1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- інформація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вебсторінці</w:t>
            </w:r>
            <w:proofErr w:type="spellEnd"/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 на власному </w:t>
            </w:r>
            <w:proofErr w:type="spellStart"/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 страховика та страхового посередника (за наявності власного </w:t>
            </w:r>
            <w:proofErr w:type="spellStart"/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вебсайту</w:t>
            </w:r>
            <w:proofErr w:type="spellEnd"/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) та в програмному застосунку (якщо страховик та/або страховий посередник використовують програмний застосунок для реалізації страхових продуктів) обов’язково має розкриватися лише щодо стандартних страхових продуктів</w:t>
            </w:r>
          </w:p>
          <w:p w14:paraId="32E33C89" w14:textId="492394AF" w:rsidR="00CA1861" w:rsidRPr="00C00A56" w:rsidRDefault="00CA1861" w:rsidP="00CA1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- інформація про стандартний страховий продукт має розкриватися страховим посередником шляхом її надання в паперовій або електронній формі, у тому числі засобами електронної пошти та/або шляхом надання доступу до такої інформації через особистий кабінет </w:t>
            </w:r>
            <w:r w:rsidR="005522B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споживача</w:t>
            </w:r>
            <w:r w:rsidR="005522B6"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чи програмний застосунок, або в інший спосіб за домовленістю зі споживачем, за умови можливості підтвердження факту надання інформації.</w:t>
            </w:r>
          </w:p>
          <w:p w14:paraId="3721672F" w14:textId="5B6DCECC" w:rsidR="00CA1861" w:rsidRPr="00C00A56" w:rsidRDefault="00CA1861" w:rsidP="00CA1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lastRenderedPageBreak/>
              <w:t xml:space="preserve">- інформація про страхові продукти, що не є стандартними, може розкриватися в інші способи, аніж шляхом її розміщення на власному </w:t>
            </w:r>
            <w:proofErr w:type="spellStart"/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 xml:space="preserve">. </w:t>
            </w:r>
          </w:p>
        </w:tc>
      </w:tr>
      <w:tr w:rsidR="00CA1861" w:rsidRPr="00C00A56" w14:paraId="6663B92F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F9D9" w14:textId="258F96CC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7. Страховик та страховий посередник </w:t>
            </w:r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 xml:space="preserve">(за наявності власного </w:t>
            </w:r>
            <w:proofErr w:type="spellStart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вебсайту</w:t>
            </w:r>
            <w:proofErr w:type="spellEnd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 xml:space="preserve">) на власному </w:t>
            </w:r>
            <w:proofErr w:type="spellStart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вебсайті</w:t>
            </w:r>
            <w:proofErr w:type="spellEnd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вебсторінці</w:t>
            </w:r>
            <w:proofErr w:type="spellEnd"/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 xml:space="preserve"> з інформацією про страховий продукт), включаючи його мобільну версію, та в програмному застосунку (якщо страховик та/або страховий посередник використовують програмний застосунок для реалізації такого страхового продукту) 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з урахуванням пункту 8 цього Положення розкривають таку інформацію про </w:t>
            </w:r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стандартний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страховий продукт:</w:t>
            </w:r>
          </w:p>
          <w:p w14:paraId="1098D5DF" w14:textId="38DCB9BD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…</w:t>
            </w:r>
          </w:p>
          <w:p w14:paraId="06CE4E65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36C45406" w14:textId="49756CD3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3) мінімальний та максимальний розміри страхової суми (ліміту відповідальності);</w:t>
            </w:r>
          </w:p>
          <w:p w14:paraId="3B10D04D" w14:textId="7F7EE988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42D207BC" w14:textId="0E7F7E8F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4C26DD76" w14:textId="77777777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1A3E3EA" w14:textId="25AE69E9" w:rsidR="00CA1861" w:rsidRPr="00C00A56" w:rsidRDefault="00CA1861" w:rsidP="00BE29D0">
            <w:pPr>
              <w:spacing w:after="0" w:line="240" w:lineRule="auto"/>
              <w:ind w:left="35" w:right="18" w:firstLine="777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…</w:t>
            </w:r>
          </w:p>
          <w:p w14:paraId="33CB3C5E" w14:textId="7BC33E8C" w:rsidR="00CA1861" w:rsidRPr="00C00A56" w:rsidRDefault="00CA1861" w:rsidP="00BE29D0">
            <w:pPr>
              <w:spacing w:after="0" w:line="240" w:lineRule="auto"/>
              <w:ind w:right="18" w:firstLine="777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1539A4D7" w14:textId="1DB13F04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Підпункт відсутній</w:t>
            </w:r>
          </w:p>
          <w:p w14:paraId="5F757683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7873" w14:textId="70EEB332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7. Страховик та страховий посередник  з урахуванням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пункт</w:t>
            </w:r>
            <w:r w:rsidRPr="00C00A56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у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ів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8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та 8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vertAlign w:val="superscript"/>
                <w:lang w:eastAsia="en-US"/>
              </w:rPr>
              <w:t>1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цього Положення розкривають таку інформацію про</w:t>
            </w:r>
            <w:r w:rsidR="003771E3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страховий продукт:</w:t>
            </w:r>
          </w:p>
          <w:p w14:paraId="06090695" w14:textId="234E377B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0AB329C0" w14:textId="165569D8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5CA34B2" w14:textId="19547778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877F229" w14:textId="0C91F83F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6ED4B32" w14:textId="686AB3D9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082813E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2372041" w14:textId="7FB206D8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…</w:t>
            </w:r>
          </w:p>
          <w:p w14:paraId="6BBD915A" w14:textId="627E1C1C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1B09461A" w14:textId="2FE30708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3) мінімальний та максимальний розміри страхової суми (ліміту відповідальності),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якщо мінімальний та максимальний розміри страхової суми визначені умовами страхового продукту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0229AD19" w14:textId="77777777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13E238FB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…</w:t>
            </w:r>
          </w:p>
          <w:p w14:paraId="68B09EB2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AC4F545" w14:textId="140C88CC" w:rsidR="00CA1861" w:rsidRPr="00C00A56" w:rsidRDefault="00CA1861" w:rsidP="00CA1861">
            <w:pPr>
              <w:pStyle w:val="ae"/>
              <w:spacing w:after="0" w:line="240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>13) перелік відомостей, що мають істотне значення для оцінки страхового ризику, та/або інформацію про інші обставини, що враховуються під час визначення розміру страхової премії.</w:t>
            </w:r>
          </w:p>
          <w:p w14:paraId="51023367" w14:textId="77777777" w:rsidR="00CA1861" w:rsidRPr="00C00A56" w:rsidRDefault="00CA1861" w:rsidP="00CA1861">
            <w:pPr>
              <w:pStyle w:val="ae"/>
              <w:spacing w:after="0" w:line="240" w:lineRule="auto"/>
              <w:ind w:left="0" w:firstLine="567"/>
              <w:rPr>
                <w:sz w:val="28"/>
                <w:szCs w:val="28"/>
              </w:rPr>
            </w:pPr>
          </w:p>
          <w:p w14:paraId="64FD783A" w14:textId="1B9B197B" w:rsidR="00CA1861" w:rsidRPr="00C00A56" w:rsidRDefault="00CA1861" w:rsidP="00CA1861">
            <w:pPr>
              <w:pStyle w:val="af"/>
              <w:rPr>
                <w:i/>
                <w:sz w:val="24"/>
                <w:szCs w:val="28"/>
              </w:rPr>
            </w:pPr>
            <w:r w:rsidRPr="00C00A56">
              <w:rPr>
                <w:i/>
                <w:sz w:val="24"/>
                <w:szCs w:val="28"/>
              </w:rPr>
              <w:t>з метою:</w:t>
            </w:r>
          </w:p>
          <w:p w14:paraId="282D3883" w14:textId="2D444233" w:rsidR="00CA1861" w:rsidRPr="00C00A56" w:rsidRDefault="00CA1861" w:rsidP="00CA1861">
            <w:pPr>
              <w:pStyle w:val="af"/>
              <w:rPr>
                <w:i/>
                <w:sz w:val="24"/>
                <w:szCs w:val="28"/>
              </w:rPr>
            </w:pPr>
            <w:r w:rsidRPr="00C00A56">
              <w:rPr>
                <w:i/>
                <w:sz w:val="24"/>
                <w:szCs w:val="28"/>
              </w:rPr>
              <w:lastRenderedPageBreak/>
              <w:t>- приведення у відповідність із пунктом 6 Положення (із врахуванням змін)</w:t>
            </w:r>
          </w:p>
          <w:p w14:paraId="2EAC69E8" w14:textId="0D69B0F6" w:rsidR="00CA1861" w:rsidRPr="00C00A56" w:rsidRDefault="00CA1861" w:rsidP="00CA1861">
            <w:pPr>
              <w:pStyle w:val="af"/>
              <w:rPr>
                <w:i/>
                <w:sz w:val="24"/>
                <w:szCs w:val="28"/>
              </w:rPr>
            </w:pPr>
            <w:r w:rsidRPr="00C00A56">
              <w:rPr>
                <w:i/>
                <w:sz w:val="24"/>
                <w:szCs w:val="28"/>
              </w:rPr>
              <w:t>- уточнення, що якщо умовами страхового продукту не передбачено обмежень по розміру страхової суми, то розміщення інформації про мінімальні та максимальні розміри страхової суми не вимагається</w:t>
            </w:r>
          </w:p>
          <w:p w14:paraId="70FE49D7" w14:textId="1DE20D09" w:rsidR="00CA1861" w:rsidRPr="00C00A56" w:rsidRDefault="00CA1861" w:rsidP="00CA1861">
            <w:pPr>
              <w:pStyle w:val="af"/>
            </w:pPr>
            <w:r w:rsidRPr="00C00A56">
              <w:rPr>
                <w:i/>
                <w:sz w:val="24"/>
                <w:szCs w:val="28"/>
              </w:rPr>
              <w:t xml:space="preserve">- гармонізації  вимог щодо надання споживачу переліку інформації та відомостей, що мають істотне значення для оцінки страхового ризику, та/або інформацію про інші обставини, що враховуються під час визначення розміру страхової премії, для договорів обов'язкового страхування цивільно-правової відповідальності власників наземних транспортних засобів та інших договорів страхування,  </w:t>
            </w:r>
          </w:p>
        </w:tc>
      </w:tr>
      <w:tr w:rsidR="00CA1861" w:rsidRPr="00C00A56" w14:paraId="1AA8FB4D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1BE8" w14:textId="46B3B9F0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Pr="00AD5D0C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Додатково до вимог, визначених у пункті 7 цього Положення</w:t>
            </w:r>
            <w:r w:rsidRPr="00C00A56">
              <w:rPr>
                <w:rFonts w:ascii="Times New Roman" w:hAnsi="Times New Roman" w:cs="Times New Roman"/>
                <w:sz w:val="28"/>
                <w:szCs w:val="28"/>
              </w:rPr>
              <w:t xml:space="preserve">, страховик та страховий посередник </w:t>
            </w:r>
            <w:r w:rsidRPr="00C00A5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(за наявності власного </w:t>
            </w:r>
            <w:proofErr w:type="spellStart"/>
            <w:r w:rsidRPr="00C00A5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вебсайту</w:t>
            </w:r>
            <w:proofErr w:type="spellEnd"/>
            <w:r w:rsidRPr="00C00A5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) на власному </w:t>
            </w:r>
            <w:proofErr w:type="spellStart"/>
            <w:r w:rsidRPr="00C00A5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вебсайті</w:t>
            </w:r>
            <w:proofErr w:type="spellEnd"/>
            <w:r w:rsidRPr="00C00A5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(на </w:t>
            </w:r>
            <w:proofErr w:type="spellStart"/>
            <w:r w:rsidRPr="00C00A5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вебсторінці</w:t>
            </w:r>
            <w:proofErr w:type="spellEnd"/>
            <w:r w:rsidRPr="00C00A5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з інформацією про страховий продукт), включаючи його мобільну версію, та в програмному застосунку (якщо страховик та/або страховий посередник використовують програмний застосунок для реалізації такого страхового продукту)</w:t>
            </w:r>
            <w:r w:rsidRPr="00C00A56">
              <w:rPr>
                <w:rFonts w:ascii="Times New Roman" w:hAnsi="Times New Roman" w:cs="Times New Roman"/>
                <w:sz w:val="28"/>
                <w:szCs w:val="28"/>
              </w:rPr>
              <w:t xml:space="preserve"> розкривають таку інформацію про </w:t>
            </w:r>
            <w:r w:rsidRPr="00C00A5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стандартний</w:t>
            </w:r>
            <w:r w:rsidRPr="00C00A56">
              <w:rPr>
                <w:rFonts w:ascii="Times New Roman" w:hAnsi="Times New Roman" w:cs="Times New Roman"/>
                <w:sz w:val="28"/>
                <w:szCs w:val="28"/>
              </w:rPr>
              <w:t xml:space="preserve"> страховий продукт за класами страхування 19–23: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318D" w14:textId="3FE8BEBE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sz w:val="28"/>
                <w:szCs w:val="28"/>
              </w:rPr>
            </w:pPr>
            <w:r w:rsidRPr="00C00A56">
              <w:rPr>
                <w:sz w:val="28"/>
                <w:szCs w:val="28"/>
              </w:rPr>
              <w:t>8.</w:t>
            </w:r>
            <w:r w:rsidR="00185FE5">
              <w:rPr>
                <w:sz w:val="28"/>
                <w:szCs w:val="28"/>
              </w:rPr>
              <w:t>С</w:t>
            </w:r>
            <w:r w:rsidRPr="00C00A56">
              <w:rPr>
                <w:sz w:val="28"/>
                <w:szCs w:val="28"/>
              </w:rPr>
              <w:t>траховик та страховий посередник</w:t>
            </w:r>
            <w:r w:rsidR="00185FE5">
              <w:rPr>
                <w:sz w:val="28"/>
                <w:szCs w:val="28"/>
              </w:rPr>
              <w:t xml:space="preserve"> </w:t>
            </w:r>
            <w:r w:rsidR="00185FE5" w:rsidRPr="00AD5D0C">
              <w:rPr>
                <w:b/>
                <w:sz w:val="28"/>
                <w:szCs w:val="28"/>
              </w:rPr>
              <w:t xml:space="preserve">додатково до </w:t>
            </w:r>
            <w:r w:rsidR="001A640B">
              <w:rPr>
                <w:b/>
                <w:sz w:val="28"/>
                <w:szCs w:val="28"/>
              </w:rPr>
              <w:t>переліку інформації</w:t>
            </w:r>
            <w:r w:rsidR="001A640B" w:rsidRPr="001A640B">
              <w:rPr>
                <w:b/>
                <w:sz w:val="28"/>
                <w:szCs w:val="28"/>
              </w:rPr>
              <w:t>, визначеного</w:t>
            </w:r>
            <w:r w:rsidR="00185FE5" w:rsidRPr="00AD5D0C">
              <w:rPr>
                <w:b/>
                <w:sz w:val="28"/>
                <w:szCs w:val="28"/>
              </w:rPr>
              <w:t xml:space="preserve"> у пункті 7 цього Положення</w:t>
            </w:r>
            <w:r w:rsidR="00185FE5">
              <w:rPr>
                <w:sz w:val="28"/>
                <w:szCs w:val="28"/>
              </w:rPr>
              <w:t>,</w:t>
            </w:r>
            <w:r w:rsidRPr="00C00A56">
              <w:rPr>
                <w:sz w:val="28"/>
                <w:szCs w:val="28"/>
              </w:rPr>
              <w:t xml:space="preserve">  розкривають таку інформацію про</w:t>
            </w:r>
            <w:r w:rsidR="003771E3" w:rsidRPr="00C00A56">
              <w:rPr>
                <w:sz w:val="28"/>
                <w:szCs w:val="28"/>
              </w:rPr>
              <w:t xml:space="preserve"> </w:t>
            </w:r>
            <w:r w:rsidRPr="00C00A56">
              <w:rPr>
                <w:sz w:val="28"/>
                <w:szCs w:val="28"/>
              </w:rPr>
              <w:t>страховий продукт за класами страхування 19–23:</w:t>
            </w:r>
          </w:p>
          <w:p w14:paraId="3E22125A" w14:textId="77777777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sz w:val="28"/>
                <w:szCs w:val="28"/>
              </w:rPr>
            </w:pPr>
          </w:p>
          <w:p w14:paraId="379DFAAE" w14:textId="77777777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sz w:val="28"/>
                <w:szCs w:val="28"/>
              </w:rPr>
            </w:pPr>
          </w:p>
          <w:p w14:paraId="0FA9222B" w14:textId="77777777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sz w:val="28"/>
                <w:szCs w:val="28"/>
              </w:rPr>
            </w:pPr>
          </w:p>
          <w:p w14:paraId="51B344E1" w14:textId="77777777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sz w:val="28"/>
                <w:szCs w:val="28"/>
              </w:rPr>
            </w:pPr>
          </w:p>
          <w:p w14:paraId="232E4669" w14:textId="77777777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sz w:val="28"/>
                <w:szCs w:val="28"/>
              </w:rPr>
            </w:pPr>
          </w:p>
          <w:p w14:paraId="30660964" w14:textId="676B7A0C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sz w:val="28"/>
                <w:szCs w:val="28"/>
              </w:rPr>
            </w:pPr>
          </w:p>
          <w:p w14:paraId="213609BC" w14:textId="77777777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sz w:val="28"/>
                <w:szCs w:val="28"/>
              </w:rPr>
            </w:pPr>
          </w:p>
          <w:p w14:paraId="0A708B9F" w14:textId="212EC8D0" w:rsidR="00CA1861" w:rsidRPr="00C00A56" w:rsidRDefault="00CA1861" w:rsidP="00CA1861">
            <w:pPr>
              <w:pStyle w:val="af"/>
              <w:rPr>
                <w:i/>
                <w:sz w:val="24"/>
                <w:szCs w:val="28"/>
              </w:rPr>
            </w:pPr>
            <w:r w:rsidRPr="00C00A56">
              <w:rPr>
                <w:i/>
                <w:sz w:val="24"/>
                <w:szCs w:val="28"/>
              </w:rPr>
              <w:t>з метою приведення у відповідність із пунктом 6 Положення (із врахуванням змін)</w:t>
            </w:r>
          </w:p>
        </w:tc>
      </w:tr>
      <w:tr w:rsidR="00CA1861" w:rsidRPr="00C00A56" w14:paraId="58609FC8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3869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Пункт відсутній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D8B4" w14:textId="61934E9B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>8</w:t>
            </w:r>
            <w:r w:rsidRPr="00C00A56">
              <w:rPr>
                <w:b/>
                <w:sz w:val="28"/>
                <w:szCs w:val="28"/>
                <w:vertAlign w:val="superscript"/>
              </w:rPr>
              <w:t>1</w:t>
            </w:r>
            <w:r w:rsidRPr="00C00A56">
              <w:rPr>
                <w:b/>
                <w:sz w:val="28"/>
                <w:szCs w:val="28"/>
              </w:rPr>
              <w:t>.</w:t>
            </w:r>
            <w:r w:rsidR="00947DC1">
              <w:rPr>
                <w:b/>
                <w:sz w:val="28"/>
                <w:szCs w:val="28"/>
              </w:rPr>
              <w:t>С</w:t>
            </w:r>
            <w:r w:rsidRPr="00C00A56">
              <w:rPr>
                <w:b/>
                <w:sz w:val="28"/>
                <w:szCs w:val="28"/>
              </w:rPr>
              <w:t>траховик та страховий посередник</w:t>
            </w:r>
            <w:r w:rsidR="00185FE5">
              <w:rPr>
                <w:b/>
                <w:sz w:val="28"/>
                <w:szCs w:val="28"/>
              </w:rPr>
              <w:t xml:space="preserve"> д</w:t>
            </w:r>
            <w:r w:rsidR="00185FE5" w:rsidRPr="00C00A56">
              <w:rPr>
                <w:b/>
                <w:sz w:val="28"/>
                <w:szCs w:val="28"/>
              </w:rPr>
              <w:t xml:space="preserve">одатково до </w:t>
            </w:r>
            <w:r w:rsidR="001A640B">
              <w:rPr>
                <w:b/>
                <w:sz w:val="28"/>
                <w:szCs w:val="28"/>
              </w:rPr>
              <w:t>переліку інформації, визначеного</w:t>
            </w:r>
            <w:r w:rsidR="00185FE5" w:rsidRPr="00C00A56">
              <w:rPr>
                <w:b/>
                <w:sz w:val="28"/>
                <w:szCs w:val="28"/>
              </w:rPr>
              <w:t xml:space="preserve"> у пункті 7 цього Положення</w:t>
            </w:r>
            <w:r w:rsidR="00185FE5">
              <w:rPr>
                <w:b/>
                <w:sz w:val="28"/>
                <w:szCs w:val="28"/>
              </w:rPr>
              <w:t>,</w:t>
            </w:r>
            <w:r w:rsidRPr="00C00A56">
              <w:rPr>
                <w:b/>
                <w:sz w:val="28"/>
                <w:szCs w:val="28"/>
              </w:rPr>
              <w:t xml:space="preserve"> розкривають таку інформацію про страховий продукт обов'язкового страхування цивільно-</w:t>
            </w:r>
            <w:r w:rsidRPr="00C00A56">
              <w:rPr>
                <w:b/>
                <w:sz w:val="28"/>
                <w:szCs w:val="28"/>
              </w:rPr>
              <w:lastRenderedPageBreak/>
              <w:t>правової відповідальності власників наземних транспортних засобів:</w:t>
            </w:r>
          </w:p>
          <w:p w14:paraId="7B6752F2" w14:textId="77777777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</w:p>
          <w:p w14:paraId="6A14019A" w14:textId="77777777" w:rsidR="00CA1861" w:rsidRPr="00C00A56" w:rsidRDefault="00CA1861" w:rsidP="00CA1861">
            <w:pPr>
              <w:pStyle w:val="ae"/>
              <w:numPr>
                <w:ilvl w:val="0"/>
                <w:numId w:val="13"/>
              </w:numPr>
              <w:suppressAutoHyphens w:val="0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>порядок укладання та оплати договору обов'язкового страхування цивільно-правової відповідальності власників наземних транспортних засобів;</w:t>
            </w:r>
          </w:p>
          <w:p w14:paraId="45E5FAC9" w14:textId="4D1642F8" w:rsidR="00CA1861" w:rsidRPr="00C00A56" w:rsidRDefault="00CA1861" w:rsidP="00CA1861">
            <w:pPr>
              <w:pStyle w:val="ae"/>
              <w:suppressAutoHyphens w:val="0"/>
              <w:spacing w:after="0" w:line="240" w:lineRule="auto"/>
              <w:ind w:left="709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 xml:space="preserve"> </w:t>
            </w:r>
          </w:p>
          <w:p w14:paraId="22D2C803" w14:textId="05556F46" w:rsidR="00CA1861" w:rsidRPr="00C00A56" w:rsidRDefault="00CA1861" w:rsidP="00CA1861">
            <w:pPr>
              <w:pStyle w:val="ae"/>
              <w:numPr>
                <w:ilvl w:val="0"/>
                <w:numId w:val="13"/>
              </w:numPr>
              <w:suppressAutoHyphens w:val="0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>способи отримання інформації про факт внесення запису про договір обов’язкового страхування цивільно-правової відповідальності</w:t>
            </w:r>
            <w:r w:rsidR="00B24684" w:rsidRPr="00C00A56">
              <w:rPr>
                <w:b/>
                <w:sz w:val="28"/>
                <w:szCs w:val="28"/>
              </w:rPr>
              <w:t xml:space="preserve"> власників наземних транспортних засобів</w:t>
            </w:r>
            <w:r w:rsidRPr="00C00A56">
              <w:rPr>
                <w:b/>
                <w:sz w:val="28"/>
                <w:szCs w:val="28"/>
              </w:rPr>
              <w:t xml:space="preserve"> до Єдиної централізованої бази даних</w:t>
            </w:r>
            <w:r w:rsidR="00AD5D0C" w:rsidRPr="00AD5D0C">
              <w:rPr>
                <w:b/>
                <w:sz w:val="28"/>
                <w:szCs w:val="28"/>
              </w:rPr>
              <w:t xml:space="preserve"> щодо обов’язкового страхування цивільно-правової</w:t>
            </w:r>
            <w:r w:rsidR="00AD5D0C">
              <w:rPr>
                <w:b/>
                <w:sz w:val="28"/>
                <w:szCs w:val="28"/>
              </w:rPr>
              <w:t xml:space="preserve"> відповідальності</w:t>
            </w:r>
            <w:r w:rsidRPr="00C00A56">
              <w:rPr>
                <w:b/>
                <w:sz w:val="28"/>
                <w:szCs w:val="28"/>
              </w:rPr>
              <w:t xml:space="preserve">, уключаючи посилання на </w:t>
            </w:r>
            <w:proofErr w:type="spellStart"/>
            <w:r w:rsidRPr="00C00A56">
              <w:rPr>
                <w:b/>
                <w:sz w:val="28"/>
                <w:szCs w:val="28"/>
              </w:rPr>
              <w:t>вебсторінку</w:t>
            </w:r>
            <w:proofErr w:type="spellEnd"/>
            <w:r w:rsidRPr="00C00A56">
              <w:rPr>
                <w:b/>
                <w:sz w:val="28"/>
                <w:szCs w:val="28"/>
              </w:rPr>
              <w:t xml:space="preserve"> </w:t>
            </w:r>
            <w:r w:rsidR="00A70450" w:rsidRPr="00C00A56">
              <w:rPr>
                <w:b/>
                <w:sz w:val="28"/>
                <w:szCs w:val="28"/>
              </w:rPr>
              <w:t xml:space="preserve">на </w:t>
            </w:r>
            <w:proofErr w:type="spellStart"/>
            <w:r w:rsidR="00A70450" w:rsidRPr="00C00A56">
              <w:rPr>
                <w:b/>
                <w:sz w:val="28"/>
                <w:szCs w:val="28"/>
              </w:rPr>
              <w:t>вебсайті</w:t>
            </w:r>
            <w:proofErr w:type="spellEnd"/>
            <w:r w:rsidRPr="00C00A56">
              <w:rPr>
                <w:b/>
                <w:sz w:val="28"/>
                <w:szCs w:val="28"/>
              </w:rPr>
              <w:t xml:space="preserve"> </w:t>
            </w:r>
            <w:r w:rsidR="00AD5D0C" w:rsidRPr="00C00A56">
              <w:rPr>
                <w:b/>
                <w:sz w:val="28"/>
                <w:szCs w:val="28"/>
              </w:rPr>
              <w:t xml:space="preserve">Моторного (транспортного) страхового бюро України </w:t>
            </w:r>
            <w:r w:rsidR="00AD5D0C">
              <w:rPr>
                <w:b/>
                <w:sz w:val="28"/>
                <w:szCs w:val="28"/>
              </w:rPr>
              <w:t xml:space="preserve">(далі – </w:t>
            </w:r>
            <w:r w:rsidRPr="00C00A56">
              <w:rPr>
                <w:b/>
                <w:sz w:val="28"/>
                <w:szCs w:val="28"/>
              </w:rPr>
              <w:t>МТСБУ</w:t>
            </w:r>
            <w:r w:rsidR="00AD5D0C">
              <w:rPr>
                <w:b/>
                <w:sz w:val="28"/>
                <w:szCs w:val="28"/>
              </w:rPr>
              <w:t>)</w:t>
            </w:r>
            <w:r w:rsidR="00A70450" w:rsidRPr="00C00A56">
              <w:rPr>
                <w:b/>
                <w:sz w:val="28"/>
                <w:szCs w:val="28"/>
              </w:rPr>
              <w:t>, на якій забезпечено можливість отримання такої інформації</w:t>
            </w:r>
            <w:r w:rsidRPr="00C00A56">
              <w:rPr>
                <w:b/>
                <w:sz w:val="28"/>
                <w:szCs w:val="28"/>
              </w:rPr>
              <w:t>;</w:t>
            </w:r>
          </w:p>
          <w:p w14:paraId="0B4FF083" w14:textId="77777777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</w:p>
          <w:p w14:paraId="14CA87C4" w14:textId="58311544" w:rsidR="00CA1861" w:rsidRPr="00C00A56" w:rsidRDefault="00CA1861" w:rsidP="00CA1861">
            <w:pPr>
              <w:pStyle w:val="ae"/>
              <w:numPr>
                <w:ilvl w:val="0"/>
                <w:numId w:val="13"/>
              </w:numPr>
              <w:suppressAutoHyphens w:val="0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 xml:space="preserve">перелік категорій фізичних осіб, які мають право на зменшення розміру страхової премії </w:t>
            </w:r>
            <w:r w:rsidR="00A70450" w:rsidRPr="00C00A56">
              <w:rPr>
                <w:b/>
                <w:sz w:val="28"/>
                <w:szCs w:val="28"/>
              </w:rPr>
              <w:t>(за внутрішнім договором обов'язкового страхування цивільно-правової відповідальності власників наземних транспортних засобів)</w:t>
            </w:r>
            <w:r w:rsidRPr="00C00A56">
              <w:rPr>
                <w:b/>
                <w:sz w:val="28"/>
                <w:szCs w:val="28"/>
              </w:rPr>
              <w:t>;</w:t>
            </w:r>
          </w:p>
          <w:p w14:paraId="38C72A31" w14:textId="77777777" w:rsidR="00CA1861" w:rsidRPr="00C00A56" w:rsidRDefault="00CA1861" w:rsidP="00CA1861">
            <w:pPr>
              <w:pStyle w:val="ae"/>
              <w:ind w:left="1" w:firstLine="708"/>
              <w:jc w:val="both"/>
              <w:rPr>
                <w:b/>
                <w:sz w:val="28"/>
                <w:szCs w:val="28"/>
              </w:rPr>
            </w:pPr>
          </w:p>
          <w:p w14:paraId="4BAA7849" w14:textId="5F2CC0AA" w:rsidR="00CA1861" w:rsidRPr="00C00A56" w:rsidRDefault="00CA1861" w:rsidP="00CA1861">
            <w:pPr>
              <w:pStyle w:val="ae"/>
              <w:numPr>
                <w:ilvl w:val="0"/>
                <w:numId w:val="13"/>
              </w:numPr>
              <w:suppressAutoHyphens w:val="0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>інформацію про чинність договору обов’язкового страхування цивільно-правової відповідальності</w:t>
            </w:r>
            <w:r w:rsidR="00B24684">
              <w:rPr>
                <w:b/>
                <w:sz w:val="28"/>
                <w:szCs w:val="28"/>
                <w:lang w:val="ru-RU"/>
              </w:rPr>
              <w:t xml:space="preserve"> </w:t>
            </w:r>
            <w:r w:rsidR="00B24684" w:rsidRPr="00C00A56">
              <w:rPr>
                <w:b/>
                <w:sz w:val="28"/>
                <w:szCs w:val="28"/>
              </w:rPr>
              <w:t xml:space="preserve">власників наземних транспортних </w:t>
            </w:r>
            <w:r w:rsidR="00B24684" w:rsidRPr="00C00A56">
              <w:rPr>
                <w:b/>
                <w:sz w:val="28"/>
                <w:szCs w:val="28"/>
              </w:rPr>
              <w:lastRenderedPageBreak/>
              <w:t>засобів</w:t>
            </w:r>
            <w:r w:rsidRPr="00C00A56">
              <w:rPr>
                <w:b/>
                <w:sz w:val="28"/>
                <w:szCs w:val="28"/>
              </w:rPr>
              <w:t xml:space="preserve"> у разі зміни власника забезпеченого транспортного засобу;</w:t>
            </w:r>
          </w:p>
          <w:p w14:paraId="65D5643B" w14:textId="77777777" w:rsidR="00CA1861" w:rsidRPr="00C00A56" w:rsidRDefault="00CA1861" w:rsidP="00CA1861">
            <w:pPr>
              <w:pStyle w:val="ae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</w:p>
          <w:p w14:paraId="467311DC" w14:textId="11DA2AB5" w:rsidR="00CA1861" w:rsidRPr="00C00A56" w:rsidRDefault="00CA1861" w:rsidP="00CA1861">
            <w:pPr>
              <w:pStyle w:val="ae"/>
              <w:numPr>
                <w:ilvl w:val="0"/>
                <w:numId w:val="13"/>
              </w:numPr>
              <w:suppressAutoHyphens w:val="0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>інформацію про</w:t>
            </w:r>
            <w:r w:rsidRPr="00C00A56">
              <w:t xml:space="preserve"> </w:t>
            </w:r>
            <w:r w:rsidRPr="00C00A56">
              <w:rPr>
                <w:b/>
                <w:sz w:val="28"/>
                <w:szCs w:val="28"/>
              </w:rPr>
              <w:t xml:space="preserve">МТСБУ, уключаючи контактні данні МТСБУ або посилання на </w:t>
            </w:r>
            <w:proofErr w:type="spellStart"/>
            <w:r w:rsidRPr="00C00A56">
              <w:rPr>
                <w:b/>
                <w:sz w:val="28"/>
                <w:szCs w:val="28"/>
              </w:rPr>
              <w:t>вебсторінку</w:t>
            </w:r>
            <w:proofErr w:type="spellEnd"/>
            <w:r w:rsidRPr="00C00A56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C00A56">
              <w:rPr>
                <w:b/>
                <w:sz w:val="28"/>
                <w:szCs w:val="28"/>
              </w:rPr>
              <w:t>вебсайті</w:t>
            </w:r>
            <w:proofErr w:type="spellEnd"/>
            <w:r w:rsidRPr="00C00A56">
              <w:rPr>
                <w:b/>
                <w:sz w:val="28"/>
                <w:szCs w:val="28"/>
              </w:rPr>
              <w:t xml:space="preserve"> МТСБУ, де розміщено таку інформацію;</w:t>
            </w:r>
          </w:p>
          <w:p w14:paraId="5D51A808" w14:textId="77777777" w:rsidR="00CA1861" w:rsidRPr="00C00A56" w:rsidRDefault="00CA1861" w:rsidP="00CA1861">
            <w:pPr>
              <w:pStyle w:val="ae"/>
              <w:ind w:left="1" w:firstLine="708"/>
              <w:jc w:val="both"/>
              <w:rPr>
                <w:b/>
                <w:sz w:val="28"/>
                <w:szCs w:val="28"/>
              </w:rPr>
            </w:pPr>
          </w:p>
          <w:p w14:paraId="20A81CD7" w14:textId="2AE7EFE7" w:rsidR="00CA1861" w:rsidRPr="00C00A56" w:rsidRDefault="00CA1861" w:rsidP="00CA1861">
            <w:pPr>
              <w:pStyle w:val="ae"/>
              <w:numPr>
                <w:ilvl w:val="0"/>
                <w:numId w:val="13"/>
              </w:numPr>
              <w:suppressAutoHyphens w:val="0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 xml:space="preserve">підстави та порядок здійснення регламентної виплати МТСБУ, або посилання на </w:t>
            </w:r>
            <w:proofErr w:type="spellStart"/>
            <w:r w:rsidRPr="00C00A56">
              <w:rPr>
                <w:b/>
                <w:sz w:val="28"/>
                <w:szCs w:val="28"/>
              </w:rPr>
              <w:t>вебсторінку</w:t>
            </w:r>
            <w:proofErr w:type="spellEnd"/>
            <w:r w:rsidRPr="00C00A56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C00A56">
              <w:rPr>
                <w:b/>
                <w:sz w:val="28"/>
                <w:szCs w:val="28"/>
              </w:rPr>
              <w:t>вебсайті</w:t>
            </w:r>
            <w:proofErr w:type="spellEnd"/>
            <w:r w:rsidRPr="00C00A56">
              <w:rPr>
                <w:b/>
                <w:sz w:val="28"/>
                <w:szCs w:val="28"/>
              </w:rPr>
              <w:t xml:space="preserve"> МТСБУ, де розміщено відомості про процедуру здійснення регламентних виплат;</w:t>
            </w:r>
          </w:p>
          <w:p w14:paraId="6C672717" w14:textId="77777777" w:rsidR="00CA1861" w:rsidRPr="00C00A56" w:rsidRDefault="00CA1861" w:rsidP="00CA1861">
            <w:pPr>
              <w:pStyle w:val="ae"/>
              <w:rPr>
                <w:b/>
                <w:sz w:val="28"/>
                <w:szCs w:val="28"/>
              </w:rPr>
            </w:pPr>
          </w:p>
          <w:p w14:paraId="4C538608" w14:textId="0192CC51" w:rsidR="00CA1861" w:rsidRPr="00C00A56" w:rsidRDefault="00CA1861" w:rsidP="00CA1861">
            <w:pPr>
              <w:pStyle w:val="ae"/>
              <w:numPr>
                <w:ilvl w:val="0"/>
                <w:numId w:val="13"/>
              </w:numPr>
              <w:suppressAutoHyphens w:val="0"/>
              <w:spacing w:after="0" w:line="240" w:lineRule="auto"/>
              <w:ind w:left="1" w:firstLine="708"/>
              <w:jc w:val="both"/>
              <w:rPr>
                <w:b/>
                <w:sz w:val="28"/>
                <w:szCs w:val="28"/>
              </w:rPr>
            </w:pPr>
            <w:r w:rsidRPr="00C00A56">
              <w:rPr>
                <w:b/>
                <w:sz w:val="28"/>
                <w:szCs w:val="28"/>
              </w:rPr>
              <w:t xml:space="preserve">порядок </w:t>
            </w:r>
            <w:r w:rsidR="00A70450" w:rsidRPr="00C00A56">
              <w:rPr>
                <w:b/>
                <w:sz w:val="28"/>
                <w:szCs w:val="28"/>
              </w:rPr>
              <w:t xml:space="preserve">дій споживача для </w:t>
            </w:r>
            <w:r w:rsidRPr="00C00A56">
              <w:rPr>
                <w:b/>
                <w:sz w:val="28"/>
                <w:szCs w:val="28"/>
              </w:rPr>
              <w:t>здійснення страхової виплати за прямим врегулюванням страхового випадку</w:t>
            </w:r>
            <w:r w:rsidR="00A70450" w:rsidRPr="00C00A56">
              <w:rPr>
                <w:b/>
                <w:sz w:val="28"/>
                <w:szCs w:val="28"/>
              </w:rPr>
              <w:t xml:space="preserve"> (за внутрішнім договором обов'язкового страхування цивільно-правової відповідальності власників наземних транспортних засобів)</w:t>
            </w:r>
            <w:r w:rsidRPr="00C00A56">
              <w:rPr>
                <w:b/>
                <w:sz w:val="28"/>
                <w:szCs w:val="28"/>
              </w:rPr>
              <w:t>.</w:t>
            </w:r>
          </w:p>
          <w:p w14:paraId="3B49B14E" w14:textId="77777777" w:rsidR="00CA1861" w:rsidRPr="00C00A56" w:rsidRDefault="00CA1861" w:rsidP="00CA1861">
            <w:pPr>
              <w:pStyle w:val="ae"/>
              <w:rPr>
                <w:b/>
                <w:sz w:val="28"/>
                <w:szCs w:val="28"/>
              </w:rPr>
            </w:pPr>
          </w:p>
          <w:p w14:paraId="1A70119E" w14:textId="58A6BA45" w:rsidR="00CA1861" w:rsidRPr="00C00A56" w:rsidRDefault="00CA1861" w:rsidP="00CA1861">
            <w:pPr>
              <w:pStyle w:val="ae"/>
              <w:spacing w:after="0" w:line="240" w:lineRule="auto"/>
              <w:ind w:left="0" w:firstLine="567"/>
              <w:jc w:val="both"/>
            </w:pPr>
            <w:r w:rsidRPr="00C00A56">
              <w:rPr>
                <w:i/>
                <w:szCs w:val="28"/>
              </w:rPr>
              <w:t>з метою встановлення вимог до розкриття окремої інформації, пов’язаної з особливостями страхового продукту обов'язкового страхування цивільно-правової відповідальності власників наземних транспортних засобів порівняно з іншими страховими продуктами відповідно до Закону України “Про обов'язкове страхування цивільно-правової відповідальності власників наземних транспортних засобів” № 3720-IX від 21 травня 2024 року</w:t>
            </w:r>
          </w:p>
        </w:tc>
        <w:bookmarkStart w:id="0" w:name="_GoBack"/>
        <w:bookmarkEnd w:id="0"/>
      </w:tr>
      <w:tr w:rsidR="00CA1861" w:rsidRPr="00C00A56" w14:paraId="3AF6E938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A82D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Додаток 1</w:t>
            </w:r>
          </w:p>
          <w:p w14:paraId="374A812B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 Положення про розкриття інформації </w:t>
            </w:r>
            <w:r w:rsidRPr="00AD5D0C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та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розміщення інформаційного документа про стандартний страховий 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</w:t>
            </w:r>
          </w:p>
          <w:p w14:paraId="275C0BEE" w14:textId="404A18A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(пункт 10)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83D3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Додаток 1</w:t>
            </w:r>
          </w:p>
          <w:p w14:paraId="29EE2898" w14:textId="6B3B8DF6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 Положення про розкриття інформації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про страховика та </w:t>
            </w:r>
            <w:r w:rsidR="00C00A56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страховий продукт</w:t>
            </w:r>
            <w:r w:rsidR="00947DC1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,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розміщення інформаційного 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</w:t>
            </w:r>
          </w:p>
          <w:p w14:paraId="41D150B4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(пункт 10)</w:t>
            </w:r>
          </w:p>
          <w:p w14:paraId="49102B8B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114263AF" w14:textId="5A574FB2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З метою приведення у відповідність зі зміненою назвою Положення</w:t>
            </w:r>
          </w:p>
        </w:tc>
      </w:tr>
      <w:tr w:rsidR="00CA1861" w:rsidRPr="00C00A56" w14:paraId="53A0E165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9D24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Рядок 3 таблиці додатка 1 до 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посередників:</w:t>
            </w:r>
          </w:p>
          <w:p w14:paraId="303F2D9E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3212"/>
              <w:gridCol w:w="3431"/>
            </w:tblGrid>
            <w:tr w:rsidR="00DB798F" w:rsidRPr="00C00A56" w14:paraId="628C4C54" w14:textId="77777777" w:rsidTr="00F84F53">
              <w:trPr>
                <w:trHeight w:val="573"/>
                <w:jc w:val="center"/>
              </w:trPr>
              <w:tc>
                <w:tcPr>
                  <w:tcW w:w="474" w:type="dxa"/>
                </w:tcPr>
                <w:p w14:paraId="4A004AFF" w14:textId="7A2D4806" w:rsidR="00DB798F" w:rsidRPr="00C00A56" w:rsidRDefault="00DB798F" w:rsidP="00DB798F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№ з/п</w:t>
                  </w:r>
                </w:p>
              </w:tc>
              <w:tc>
                <w:tcPr>
                  <w:tcW w:w="3240" w:type="dxa"/>
                </w:tcPr>
                <w:p w14:paraId="0849E91D" w14:textId="3630FE6C" w:rsidR="00DB798F" w:rsidRPr="00C00A56" w:rsidRDefault="00DB798F" w:rsidP="00DB798F">
                  <w:pPr>
                    <w:ind w:left="35"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Вид інформації</w:t>
                  </w:r>
                </w:p>
              </w:tc>
              <w:tc>
                <w:tcPr>
                  <w:tcW w:w="3466" w:type="dxa"/>
                </w:tcPr>
                <w:p w14:paraId="1680B429" w14:textId="109D52F9" w:rsidR="00DB798F" w:rsidRPr="00C00A56" w:rsidRDefault="00DB798F" w:rsidP="00DB798F">
                  <w:pPr>
                    <w:ind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Інформація для заповнення страховиком</w:t>
                  </w:r>
                </w:p>
              </w:tc>
            </w:tr>
            <w:tr w:rsidR="00CA1861" w:rsidRPr="00C00A56" w14:paraId="5E465F0A" w14:textId="77777777" w:rsidTr="00F84F53">
              <w:trPr>
                <w:trHeight w:val="573"/>
                <w:jc w:val="center"/>
              </w:trPr>
              <w:tc>
                <w:tcPr>
                  <w:tcW w:w="474" w:type="dxa"/>
                </w:tcPr>
                <w:p w14:paraId="02C5E171" w14:textId="77777777" w:rsidR="00CA1861" w:rsidRPr="00C00A56" w:rsidRDefault="00CA1861" w:rsidP="00CA1861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3240" w:type="dxa"/>
                </w:tcPr>
                <w:p w14:paraId="7C6653C2" w14:textId="77777777" w:rsidR="00CA1861" w:rsidRPr="00C00A56" w:rsidRDefault="00CA1861" w:rsidP="00CA1861">
                  <w:pPr>
                    <w:ind w:left="35"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Номер і дата </w:t>
                  </w:r>
                  <w:r w:rsidRPr="00C00A56">
                    <w:rPr>
                      <w:rFonts w:ascii="Times New Roman" w:eastAsia="SimSun" w:hAnsi="Times New Roman" w:cs="Times New Roman"/>
                      <w:b/>
                      <w:strike/>
                      <w:color w:val="000000"/>
                      <w:sz w:val="28"/>
                      <w:szCs w:val="28"/>
                      <w:lang w:eastAsia="en-US"/>
                    </w:rPr>
                    <w:t>видачі ліцензії на здійснення діяльності із страхування</w:t>
                  </w:r>
                </w:p>
              </w:tc>
              <w:tc>
                <w:tcPr>
                  <w:tcW w:w="3466" w:type="dxa"/>
                </w:tcPr>
                <w:p w14:paraId="7CA84405" w14:textId="77777777" w:rsidR="00CA1861" w:rsidRPr="00C00A56" w:rsidRDefault="00CA1861" w:rsidP="00CA1861">
                  <w:pPr>
                    <w:ind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4CB8D9C6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A876448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71F18D0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CAAA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Рядок 3 таблиці додатка 1 до 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посередників:</w:t>
            </w:r>
          </w:p>
          <w:p w14:paraId="58F6B333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3248"/>
              <w:gridCol w:w="3397"/>
            </w:tblGrid>
            <w:tr w:rsidR="00DB798F" w:rsidRPr="00C00A56" w14:paraId="1C8E7E7D" w14:textId="77777777" w:rsidTr="00F84F53">
              <w:trPr>
                <w:jc w:val="center"/>
              </w:trPr>
              <w:tc>
                <w:tcPr>
                  <w:tcW w:w="405" w:type="dxa"/>
                </w:tcPr>
                <w:p w14:paraId="08212146" w14:textId="20EB42F0" w:rsidR="00DB798F" w:rsidRPr="00C00A56" w:rsidRDefault="00DB798F" w:rsidP="00DB798F">
                  <w:pPr>
                    <w:spacing w:before="240" w:after="24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№ з/п</w:t>
                  </w:r>
                </w:p>
              </w:tc>
              <w:tc>
                <w:tcPr>
                  <w:tcW w:w="3309" w:type="dxa"/>
                </w:tcPr>
                <w:p w14:paraId="7A061E9E" w14:textId="7C73C4E1" w:rsidR="00DB798F" w:rsidRPr="00C00A56" w:rsidRDefault="00DB798F" w:rsidP="00DB798F">
                  <w:pPr>
                    <w:ind w:left="35"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Вид інформації</w:t>
                  </w:r>
                </w:p>
              </w:tc>
              <w:tc>
                <w:tcPr>
                  <w:tcW w:w="3466" w:type="dxa"/>
                </w:tcPr>
                <w:p w14:paraId="57D18956" w14:textId="0054E7D3" w:rsidR="00DB798F" w:rsidRPr="00C00A56" w:rsidRDefault="00DB798F" w:rsidP="00DB798F">
                  <w:pPr>
                    <w:ind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Інформація для заповнення страховиком</w:t>
                  </w:r>
                </w:p>
              </w:tc>
            </w:tr>
            <w:tr w:rsidR="00CA1861" w:rsidRPr="00C00A56" w14:paraId="085433CE" w14:textId="77777777" w:rsidTr="00F84F53">
              <w:trPr>
                <w:jc w:val="center"/>
              </w:trPr>
              <w:tc>
                <w:tcPr>
                  <w:tcW w:w="405" w:type="dxa"/>
                </w:tcPr>
                <w:p w14:paraId="0B458465" w14:textId="77777777" w:rsidR="00CA1861" w:rsidRPr="00C00A56" w:rsidRDefault="00CA1861" w:rsidP="00CA1861">
                  <w:pPr>
                    <w:spacing w:before="240" w:after="24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3309" w:type="dxa"/>
                </w:tcPr>
                <w:p w14:paraId="04F4DA81" w14:textId="77777777" w:rsidR="00CA1861" w:rsidRPr="00C00A56" w:rsidRDefault="00CA1861" w:rsidP="00CA1861">
                  <w:pPr>
                    <w:ind w:left="35"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Номер і дата </w:t>
                  </w:r>
                  <w:r w:rsidRPr="00C00A56">
                    <w:rPr>
                      <w:rFonts w:ascii="Times New Roman" w:eastAsia="SimSu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>витягу із Державного реєстру фінансових установ</w:t>
                  </w:r>
                </w:p>
              </w:tc>
              <w:tc>
                <w:tcPr>
                  <w:tcW w:w="3466" w:type="dxa"/>
                </w:tcPr>
                <w:p w14:paraId="406F491A" w14:textId="77777777" w:rsidR="00CA1861" w:rsidRPr="00C00A56" w:rsidRDefault="00CA1861" w:rsidP="00CA1861">
                  <w:pPr>
                    <w:ind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315C0F3F" w14:textId="600731F3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33C1AC6B" w14:textId="77777777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3041492C" w14:textId="5E5494AA" w:rsidR="00CA1861" w:rsidRPr="00C00A56" w:rsidRDefault="00CA1861" w:rsidP="00BE29D0">
            <w:pPr>
              <w:pStyle w:val="ae"/>
              <w:spacing w:after="0" w:line="240" w:lineRule="auto"/>
              <w:ind w:left="0" w:firstLine="567"/>
              <w:jc w:val="both"/>
            </w:pPr>
            <w:r w:rsidRPr="00C00A56">
              <w:rPr>
                <w:i/>
                <w:szCs w:val="28"/>
              </w:rPr>
              <w:t>з метою приведення у відповідність із додатками 13, 15-17 до наказу Національного банку України “Про затвердження форм документів, що подаються до Національного банку України згідно з Положенням про авторизацію надавачів фінансових послуг та умови здійснення ними діяльності з надання фінансових послуг” від 25 січня 2024 року № 73-но</w:t>
            </w:r>
          </w:p>
        </w:tc>
      </w:tr>
      <w:tr w:rsidR="00CA1861" w:rsidRPr="00C00A56" w14:paraId="0D6FE277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938D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Рядок 18 таблиці додатка 1 до 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посередників:</w:t>
            </w:r>
          </w:p>
          <w:p w14:paraId="618776D1" w14:textId="77777777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3209"/>
              <w:gridCol w:w="3434"/>
            </w:tblGrid>
            <w:tr w:rsidR="00DB798F" w:rsidRPr="00C00A56" w14:paraId="72689698" w14:textId="77777777" w:rsidTr="00DB798F">
              <w:trPr>
                <w:trHeight w:val="573"/>
                <w:jc w:val="center"/>
              </w:trPr>
              <w:tc>
                <w:tcPr>
                  <w:tcW w:w="514" w:type="dxa"/>
                </w:tcPr>
                <w:p w14:paraId="63487727" w14:textId="7D072508" w:rsidR="00DB798F" w:rsidRPr="00C00A56" w:rsidRDefault="00DB798F" w:rsidP="00DB798F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№ з/п</w:t>
                  </w:r>
                </w:p>
              </w:tc>
              <w:tc>
                <w:tcPr>
                  <w:tcW w:w="3238" w:type="dxa"/>
                </w:tcPr>
                <w:p w14:paraId="6E0FF1CD" w14:textId="16249055" w:rsidR="00DB798F" w:rsidRPr="00C00A56" w:rsidRDefault="00DB798F" w:rsidP="00DB798F">
                  <w:pPr>
                    <w:ind w:left="35"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Вид інформації</w:t>
                  </w:r>
                </w:p>
              </w:tc>
              <w:tc>
                <w:tcPr>
                  <w:tcW w:w="3463" w:type="dxa"/>
                </w:tcPr>
                <w:p w14:paraId="74BC2F1E" w14:textId="13C1BA10" w:rsidR="00DB798F" w:rsidRPr="00C00A56" w:rsidRDefault="00DB798F" w:rsidP="00DB798F">
                  <w:pPr>
                    <w:ind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Інформація для заповнення страховиком</w:t>
                  </w:r>
                </w:p>
              </w:tc>
            </w:tr>
            <w:tr w:rsidR="00CA1861" w:rsidRPr="00C00A56" w14:paraId="2E58D6F9" w14:textId="77777777" w:rsidTr="00DB798F">
              <w:trPr>
                <w:trHeight w:val="573"/>
                <w:jc w:val="center"/>
              </w:trPr>
              <w:tc>
                <w:tcPr>
                  <w:tcW w:w="514" w:type="dxa"/>
                </w:tcPr>
                <w:p w14:paraId="24E60DAA" w14:textId="77777777" w:rsidR="00CA1861" w:rsidRPr="00C00A56" w:rsidRDefault="00CA1861" w:rsidP="00CA1861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18</w:t>
                  </w:r>
                </w:p>
              </w:tc>
              <w:tc>
                <w:tcPr>
                  <w:tcW w:w="3238" w:type="dxa"/>
                </w:tcPr>
                <w:p w14:paraId="28A6EF27" w14:textId="77777777" w:rsidR="00CA1861" w:rsidRPr="00C00A56" w:rsidRDefault="00CA1861" w:rsidP="00CA1861">
                  <w:pPr>
                    <w:ind w:left="35"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Порядок   здійснення страхових виплат</w:t>
                  </w:r>
                </w:p>
              </w:tc>
              <w:tc>
                <w:tcPr>
                  <w:tcW w:w="3463" w:type="dxa"/>
                </w:tcPr>
                <w:p w14:paraId="27316E15" w14:textId="77777777" w:rsidR="00CA1861" w:rsidRPr="00C00A56" w:rsidRDefault="00CA1861" w:rsidP="00CA1861">
                  <w:pPr>
                    <w:ind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13BE2E7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1770ABF8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8699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Рядок 18 таблиці додатка 1 до 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посередників:</w:t>
            </w:r>
          </w:p>
          <w:p w14:paraId="7144446A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3213"/>
              <w:gridCol w:w="3432"/>
            </w:tblGrid>
            <w:tr w:rsidR="00DB798F" w:rsidRPr="00C00A56" w14:paraId="482DD57B" w14:textId="77777777" w:rsidTr="00DB798F">
              <w:trPr>
                <w:trHeight w:val="573"/>
                <w:jc w:val="center"/>
              </w:trPr>
              <w:tc>
                <w:tcPr>
                  <w:tcW w:w="514" w:type="dxa"/>
                </w:tcPr>
                <w:p w14:paraId="6D4C3D1D" w14:textId="4F30B786" w:rsidR="00DB798F" w:rsidRPr="00C00A56" w:rsidRDefault="00DB798F" w:rsidP="00DB798F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№ з/п</w:t>
                  </w:r>
                </w:p>
              </w:tc>
              <w:tc>
                <w:tcPr>
                  <w:tcW w:w="3239" w:type="dxa"/>
                </w:tcPr>
                <w:p w14:paraId="20D17D65" w14:textId="1AFD70F1" w:rsidR="00DB798F" w:rsidRPr="00C00A56" w:rsidRDefault="00DB798F" w:rsidP="00DB798F">
                  <w:pPr>
                    <w:ind w:left="35"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Вид інформації</w:t>
                  </w:r>
                </w:p>
              </w:tc>
              <w:tc>
                <w:tcPr>
                  <w:tcW w:w="3464" w:type="dxa"/>
                </w:tcPr>
                <w:p w14:paraId="1FC448E9" w14:textId="07E28F31" w:rsidR="00DB798F" w:rsidRPr="00C00A56" w:rsidRDefault="00DB798F" w:rsidP="00DB798F">
                  <w:pPr>
                    <w:ind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Інформація для заповнення страховиком</w:t>
                  </w:r>
                </w:p>
              </w:tc>
            </w:tr>
            <w:tr w:rsidR="00CA1861" w:rsidRPr="00C00A56" w14:paraId="39106C8C" w14:textId="77777777" w:rsidTr="00DB798F">
              <w:trPr>
                <w:trHeight w:val="573"/>
                <w:jc w:val="center"/>
              </w:trPr>
              <w:tc>
                <w:tcPr>
                  <w:tcW w:w="514" w:type="dxa"/>
                </w:tcPr>
                <w:p w14:paraId="6301967C" w14:textId="77777777" w:rsidR="00CA1861" w:rsidRPr="00C00A56" w:rsidRDefault="00CA1861" w:rsidP="00CA1861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18</w:t>
                  </w:r>
                </w:p>
              </w:tc>
              <w:tc>
                <w:tcPr>
                  <w:tcW w:w="3239" w:type="dxa"/>
                </w:tcPr>
                <w:p w14:paraId="4EF6F62D" w14:textId="54513795" w:rsidR="00CA1861" w:rsidRPr="00C00A56" w:rsidRDefault="00CA1861" w:rsidP="003771E3">
                  <w:pPr>
                    <w:ind w:left="35"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Порядок  </w:t>
                  </w:r>
                  <w:r w:rsidR="003771E3" w:rsidRPr="00C00A56">
                    <w:rPr>
                      <w:rFonts w:ascii="Times New Roman" w:eastAsia="SimSu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A70450" w:rsidRPr="00C00A56">
                    <w:rPr>
                      <w:rFonts w:ascii="Times New Roman" w:eastAsia="SimSu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>(уключаючи розрахунок розміру)</w:t>
                  </w:r>
                  <w:r w:rsidRPr="00C00A56">
                    <w:rPr>
                      <w:rFonts w:ascii="Times New Roman" w:eastAsia="SimSu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здійснення страхових виплат</w:t>
                  </w:r>
                </w:p>
              </w:tc>
              <w:tc>
                <w:tcPr>
                  <w:tcW w:w="3464" w:type="dxa"/>
                </w:tcPr>
                <w:p w14:paraId="734F0219" w14:textId="77777777" w:rsidR="00CA1861" w:rsidRPr="00C00A56" w:rsidRDefault="00CA1861" w:rsidP="00CA1861">
                  <w:pPr>
                    <w:ind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46210D40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i/>
                <w:szCs w:val="28"/>
              </w:rPr>
            </w:pPr>
          </w:p>
          <w:p w14:paraId="5881FA65" w14:textId="7D063AA5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00A56">
              <w:rPr>
                <w:rFonts w:ascii="Times New Roman" w:hAnsi="Times New Roman" w:cs="Times New Roman"/>
                <w:i/>
                <w:sz w:val="24"/>
                <w:szCs w:val="24"/>
              </w:rPr>
              <w:t>з метою уточнення, що пункт 18 інформаційного документа про стандартний страховий продукт має містити також інформацію про порядок розрахунку розміру страхових виплат</w:t>
            </w:r>
          </w:p>
        </w:tc>
      </w:tr>
      <w:tr w:rsidR="00CA1861" w:rsidRPr="00C00A56" w14:paraId="1FD65DB7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49DF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Додаток 2</w:t>
            </w:r>
          </w:p>
          <w:p w14:paraId="4600BC97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 Положення про розкриття інформації </w:t>
            </w:r>
            <w:r w:rsidRPr="00AD5D0C">
              <w:rPr>
                <w:rFonts w:ascii="Times New Roman" w:eastAsia="SimSun" w:hAnsi="Times New Roman" w:cs="Times New Roman"/>
                <w:b/>
                <w:strike/>
                <w:color w:val="000000"/>
                <w:sz w:val="28"/>
                <w:szCs w:val="28"/>
                <w:lang w:eastAsia="en-US"/>
              </w:rPr>
              <w:t>та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</w:t>
            </w:r>
          </w:p>
          <w:p w14:paraId="0A29C84E" w14:textId="254FB8C3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(пункт 11)</w:t>
            </w: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C463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Додаток 2</w:t>
            </w:r>
          </w:p>
          <w:p w14:paraId="20CE08F8" w14:textId="66C207A8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 Положення про розкриття інформації </w:t>
            </w:r>
            <w:r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про страховика та </w:t>
            </w:r>
            <w:r w:rsidR="00C00A56" w:rsidRPr="00C00A5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страховий продукт</w:t>
            </w:r>
            <w:r w:rsidR="00947DC1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,</w:t>
            </w: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</w:t>
            </w:r>
          </w:p>
          <w:p w14:paraId="00A55B2C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(пункт 11)</w:t>
            </w:r>
          </w:p>
          <w:p w14:paraId="46D0AEDD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FF61D7E" w14:textId="4ED126EE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8"/>
                <w:lang w:eastAsia="en-US"/>
              </w:rPr>
              <w:t>З метою приведення у відповідність зі зміненою назвою Положення</w:t>
            </w:r>
          </w:p>
        </w:tc>
      </w:tr>
    </w:tbl>
    <w:p w14:paraId="272A9345" w14:textId="77777777" w:rsidR="00A32CD1" w:rsidRDefault="00A32CD1" w:rsidP="00CA1861">
      <w:pPr>
        <w:spacing w:after="0" w:line="240" w:lineRule="auto"/>
        <w:ind w:left="35" w:right="1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sectPr w:rsidR="00A32CD1" w:rsidSect="00033E77">
          <w:pgSz w:w="16838" w:h="11906" w:orient="landscape"/>
          <w:pgMar w:top="567" w:right="567" w:bottom="1701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1"/>
        <w:gridCol w:w="7443"/>
      </w:tblGrid>
      <w:tr w:rsidR="00CA1861" w:rsidRPr="00C00A56" w14:paraId="31B43678" w14:textId="77777777" w:rsidTr="00033E77"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B34F" w14:textId="78D1E42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Рядок 3 таблиці додатка 2 до 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посередників:</w:t>
            </w:r>
          </w:p>
          <w:p w14:paraId="6932D2CF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3212"/>
              <w:gridCol w:w="3431"/>
            </w:tblGrid>
            <w:tr w:rsidR="00185B70" w:rsidRPr="00C00A56" w14:paraId="20FA0AD8" w14:textId="77777777" w:rsidTr="00DB798F">
              <w:trPr>
                <w:trHeight w:val="852"/>
                <w:jc w:val="center"/>
              </w:trPr>
              <w:tc>
                <w:tcPr>
                  <w:tcW w:w="474" w:type="dxa"/>
                </w:tcPr>
                <w:p w14:paraId="42514A93" w14:textId="34B1387E" w:rsidR="00185B70" w:rsidRPr="00C00A56" w:rsidRDefault="00185B70" w:rsidP="00185B70">
                  <w:pPr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85B70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№ з/п</w:t>
                  </w:r>
                </w:p>
              </w:tc>
              <w:tc>
                <w:tcPr>
                  <w:tcW w:w="3240" w:type="dxa"/>
                </w:tcPr>
                <w:p w14:paraId="43A6AE7D" w14:textId="05CBD005" w:rsidR="00185B70" w:rsidRPr="00C00A56" w:rsidRDefault="00185B70" w:rsidP="00185B70">
                  <w:pPr>
                    <w:ind w:left="35"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85B70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Вид інформації</w:t>
                  </w:r>
                </w:p>
              </w:tc>
              <w:tc>
                <w:tcPr>
                  <w:tcW w:w="3466" w:type="dxa"/>
                </w:tcPr>
                <w:p w14:paraId="6C80B704" w14:textId="0505F3C0" w:rsidR="00185B70" w:rsidRPr="00C00A56" w:rsidRDefault="00185B70" w:rsidP="00185B70">
                  <w:pPr>
                    <w:ind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85B70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Інформація для заповнення страховиком</w:t>
                  </w:r>
                </w:p>
              </w:tc>
            </w:tr>
            <w:tr w:rsidR="00CA1861" w:rsidRPr="00C00A56" w14:paraId="7D86E6AC" w14:textId="77777777" w:rsidTr="00033E77">
              <w:trPr>
                <w:trHeight w:val="573"/>
                <w:jc w:val="center"/>
              </w:trPr>
              <w:tc>
                <w:tcPr>
                  <w:tcW w:w="474" w:type="dxa"/>
                </w:tcPr>
                <w:p w14:paraId="5DCE4BBB" w14:textId="77777777" w:rsidR="00CA1861" w:rsidRPr="00C00A56" w:rsidRDefault="00CA1861" w:rsidP="00CA1861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3240" w:type="dxa"/>
                </w:tcPr>
                <w:p w14:paraId="4E3C1A6D" w14:textId="77777777" w:rsidR="00CA1861" w:rsidRPr="00C00A56" w:rsidRDefault="00CA1861" w:rsidP="00CA1861">
                  <w:pPr>
                    <w:ind w:left="35"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Номер і дата </w:t>
                  </w:r>
                  <w:r w:rsidRPr="00C00A56">
                    <w:rPr>
                      <w:rFonts w:ascii="Times New Roman" w:eastAsia="SimSun" w:hAnsi="Times New Roman" w:cs="Times New Roman"/>
                      <w:b/>
                      <w:strike/>
                      <w:color w:val="000000"/>
                      <w:sz w:val="28"/>
                      <w:szCs w:val="28"/>
                      <w:lang w:eastAsia="en-US"/>
                    </w:rPr>
                    <w:t>видачі ліцензії на здійснення діяльності із страхування</w:t>
                  </w:r>
                </w:p>
              </w:tc>
              <w:tc>
                <w:tcPr>
                  <w:tcW w:w="3466" w:type="dxa"/>
                </w:tcPr>
                <w:p w14:paraId="72CEAB1A" w14:textId="77777777" w:rsidR="00CA1861" w:rsidRPr="00C00A56" w:rsidRDefault="00CA1861" w:rsidP="00CA1861">
                  <w:pPr>
                    <w:ind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3B4C59C8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B1D2CE3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94FFB80" w14:textId="77777777" w:rsidR="00CA1861" w:rsidRPr="00C00A56" w:rsidRDefault="00CA1861" w:rsidP="00CA1861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1ADD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Рядок 3 таблиці додатка 2 до 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посередників:</w:t>
            </w:r>
          </w:p>
          <w:p w14:paraId="73C3876B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3248"/>
              <w:gridCol w:w="3397"/>
            </w:tblGrid>
            <w:tr w:rsidR="00185B70" w:rsidRPr="00C00A56" w14:paraId="628F7D49" w14:textId="77777777" w:rsidTr="00185B70">
              <w:trPr>
                <w:trHeight w:val="859"/>
                <w:jc w:val="center"/>
              </w:trPr>
              <w:tc>
                <w:tcPr>
                  <w:tcW w:w="405" w:type="dxa"/>
                </w:tcPr>
                <w:p w14:paraId="43E89370" w14:textId="0E72A887" w:rsidR="00185B70" w:rsidRPr="00033E77" w:rsidRDefault="00185B70" w:rsidP="00185B70">
                  <w:pPr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№ з/п</w:t>
                  </w:r>
                </w:p>
              </w:tc>
              <w:tc>
                <w:tcPr>
                  <w:tcW w:w="3309" w:type="dxa"/>
                </w:tcPr>
                <w:p w14:paraId="4C6D1B0F" w14:textId="5FB80A86" w:rsidR="00185B70" w:rsidRPr="00033E77" w:rsidRDefault="00185B70" w:rsidP="00185B70">
                  <w:pPr>
                    <w:ind w:left="35"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Вид інформації</w:t>
                  </w:r>
                </w:p>
              </w:tc>
              <w:tc>
                <w:tcPr>
                  <w:tcW w:w="3466" w:type="dxa"/>
                </w:tcPr>
                <w:p w14:paraId="10B3F375" w14:textId="32789B76" w:rsidR="00185B70" w:rsidRPr="00033E77" w:rsidRDefault="00185B70" w:rsidP="00185B70">
                  <w:pPr>
                    <w:ind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Інформація для заповнення страховиком</w:t>
                  </w:r>
                </w:p>
              </w:tc>
            </w:tr>
            <w:tr w:rsidR="00CA1861" w:rsidRPr="00C00A56" w14:paraId="2B18CE66" w14:textId="77777777" w:rsidTr="00033E77">
              <w:trPr>
                <w:jc w:val="center"/>
              </w:trPr>
              <w:tc>
                <w:tcPr>
                  <w:tcW w:w="405" w:type="dxa"/>
                </w:tcPr>
                <w:p w14:paraId="2F2F0CE2" w14:textId="77777777" w:rsidR="00CA1861" w:rsidRPr="00C00A56" w:rsidRDefault="00CA1861" w:rsidP="00CA1861">
                  <w:pPr>
                    <w:spacing w:before="240" w:after="24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3309" w:type="dxa"/>
                </w:tcPr>
                <w:p w14:paraId="3B0DFB11" w14:textId="77777777" w:rsidR="00CA1861" w:rsidRPr="00C00A56" w:rsidRDefault="00CA1861" w:rsidP="00CA1861">
                  <w:pPr>
                    <w:ind w:left="35"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Номер і дата </w:t>
                  </w:r>
                  <w:r w:rsidRPr="00C00A56">
                    <w:rPr>
                      <w:rFonts w:ascii="Times New Roman" w:eastAsia="SimSu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>витягу із Державного реєстру фінансових установ</w:t>
                  </w:r>
                </w:p>
              </w:tc>
              <w:tc>
                <w:tcPr>
                  <w:tcW w:w="3466" w:type="dxa"/>
                </w:tcPr>
                <w:p w14:paraId="22658129" w14:textId="77777777" w:rsidR="00CA1861" w:rsidRPr="00C00A56" w:rsidRDefault="00CA1861" w:rsidP="00CA1861">
                  <w:pPr>
                    <w:ind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71B2E3FC" w14:textId="77777777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76E13EF1" w14:textId="77777777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9B57773" w14:textId="6DD823F5" w:rsidR="00CA1861" w:rsidRPr="00C00A56" w:rsidRDefault="00CA1861" w:rsidP="00CA1861">
            <w:pPr>
              <w:pStyle w:val="ae"/>
              <w:spacing w:after="0" w:line="240" w:lineRule="auto"/>
              <w:ind w:left="0" w:firstLine="567"/>
              <w:jc w:val="both"/>
              <w:rPr>
                <w:i/>
                <w:szCs w:val="28"/>
              </w:rPr>
            </w:pPr>
            <w:r w:rsidRPr="00C00A56">
              <w:rPr>
                <w:i/>
                <w:szCs w:val="28"/>
              </w:rPr>
              <w:t>з метою приведення у відповідність із додатками 13, 15-17 до наказу Національного банку України “Про затвердження форм документів, що подаються до Національного банку України згідно з Положенням про авторизацію надавачів фінансових послуг та умови здійснення ними діяльності з надання фінансових послуг” від 25 січня 2024 року № 73-но</w:t>
            </w:r>
          </w:p>
        </w:tc>
      </w:tr>
    </w:tbl>
    <w:p w14:paraId="3F547518" w14:textId="77777777" w:rsidR="00A32CD1" w:rsidRDefault="00A32CD1" w:rsidP="00CA1861">
      <w:pPr>
        <w:spacing w:after="0" w:line="240" w:lineRule="auto"/>
        <w:ind w:left="35" w:right="1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sectPr w:rsidR="00A32CD1" w:rsidSect="00A32CD1">
          <w:pgSz w:w="16838" w:h="11906" w:orient="landscape"/>
          <w:pgMar w:top="567" w:right="567" w:bottom="1701" w:left="1701" w:header="0" w:footer="0" w:gutter="0"/>
          <w:cols w:space="720"/>
          <w:formProt w:val="0"/>
          <w:vAlign w:val="center"/>
          <w:docGrid w:linePitch="360" w:charSpace="4096"/>
        </w:sectPr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1"/>
        <w:gridCol w:w="7443"/>
      </w:tblGrid>
      <w:tr w:rsidR="00CA1861" w:rsidRPr="00C00A56" w14:paraId="65C6A1BF" w14:textId="77777777" w:rsidTr="00031746">
        <w:trPr>
          <w:trHeight w:val="1466"/>
        </w:trPr>
        <w:tc>
          <w:tcPr>
            <w:tcW w:w="7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8D51" w14:textId="27609582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Рядок 21 таблиці додатка 2 до 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посередників:</w:t>
            </w:r>
          </w:p>
          <w:p w14:paraId="61001FB6" w14:textId="77777777" w:rsidR="00CA1861" w:rsidRPr="00C00A56" w:rsidRDefault="00CA1861" w:rsidP="00CA1861">
            <w:pPr>
              <w:spacing w:after="0" w:line="240" w:lineRule="auto"/>
              <w:ind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3209"/>
              <w:gridCol w:w="3434"/>
            </w:tblGrid>
            <w:tr w:rsidR="00DB798F" w:rsidRPr="00C00A56" w14:paraId="3FB1BD8A" w14:textId="77777777" w:rsidTr="00DB798F">
              <w:trPr>
                <w:trHeight w:val="1054"/>
                <w:jc w:val="center"/>
              </w:trPr>
              <w:tc>
                <w:tcPr>
                  <w:tcW w:w="514" w:type="dxa"/>
                </w:tcPr>
                <w:p w14:paraId="36BD6A89" w14:textId="4BCA8DEC" w:rsidR="00DB798F" w:rsidRPr="00C00A56" w:rsidRDefault="00DB798F" w:rsidP="00DB798F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№ з/п</w:t>
                  </w:r>
                </w:p>
              </w:tc>
              <w:tc>
                <w:tcPr>
                  <w:tcW w:w="3238" w:type="dxa"/>
                </w:tcPr>
                <w:p w14:paraId="1BACD3BA" w14:textId="34B36B08" w:rsidR="00DB798F" w:rsidRPr="00C00A56" w:rsidRDefault="00DB798F" w:rsidP="00DB798F">
                  <w:pPr>
                    <w:ind w:left="35"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Вид інформації</w:t>
                  </w:r>
                </w:p>
              </w:tc>
              <w:tc>
                <w:tcPr>
                  <w:tcW w:w="3463" w:type="dxa"/>
                </w:tcPr>
                <w:p w14:paraId="504344C3" w14:textId="621DD2A4" w:rsidR="00DB798F" w:rsidRPr="00C00A56" w:rsidRDefault="00DB798F" w:rsidP="00DB798F">
                  <w:pPr>
                    <w:ind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Інформація для заповнення страховиком</w:t>
                  </w:r>
                </w:p>
              </w:tc>
            </w:tr>
            <w:tr w:rsidR="00CA1861" w:rsidRPr="00C00A56" w14:paraId="581E0A37" w14:textId="77777777" w:rsidTr="00DB798F">
              <w:trPr>
                <w:trHeight w:val="573"/>
                <w:jc w:val="center"/>
              </w:trPr>
              <w:tc>
                <w:tcPr>
                  <w:tcW w:w="514" w:type="dxa"/>
                </w:tcPr>
                <w:p w14:paraId="5CCD72CD" w14:textId="3C1F6B6E" w:rsidR="00CA1861" w:rsidRPr="00C00A56" w:rsidRDefault="00CA1861" w:rsidP="00CA1861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21</w:t>
                  </w:r>
                </w:p>
              </w:tc>
              <w:tc>
                <w:tcPr>
                  <w:tcW w:w="3238" w:type="dxa"/>
                </w:tcPr>
                <w:p w14:paraId="50BA175C" w14:textId="77777777" w:rsidR="00CA1861" w:rsidRPr="00C00A56" w:rsidRDefault="00CA1861" w:rsidP="00CA1861">
                  <w:pPr>
                    <w:ind w:left="35"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Порядок   здійснення страхових виплат</w:t>
                  </w:r>
                </w:p>
              </w:tc>
              <w:tc>
                <w:tcPr>
                  <w:tcW w:w="3463" w:type="dxa"/>
                </w:tcPr>
                <w:p w14:paraId="0E1F0C0D" w14:textId="77777777" w:rsidR="00CA1861" w:rsidRPr="00C00A56" w:rsidRDefault="00CA1861" w:rsidP="00CA1861">
                  <w:pPr>
                    <w:ind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137AC25D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17952F52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9AD1" w14:textId="629CFDEF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Рядок 21 таблиці додатка 2 до Положення про розкриття інформації та розміщення інформаційного документа про стандартний страховий продукт на </w:t>
            </w:r>
            <w:proofErr w:type="spellStart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вебсайтах</w:t>
            </w:r>
            <w:proofErr w:type="spellEnd"/>
            <w:r w:rsidRPr="00C00A5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 страховиків та страхових посередників:</w:t>
            </w:r>
          </w:p>
          <w:p w14:paraId="43D30F9A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Style w:val="af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3213"/>
              <w:gridCol w:w="3432"/>
            </w:tblGrid>
            <w:tr w:rsidR="00DB798F" w:rsidRPr="00C00A56" w14:paraId="6EEDF2E3" w14:textId="77777777" w:rsidTr="00DB798F">
              <w:trPr>
                <w:trHeight w:val="1054"/>
                <w:jc w:val="center"/>
              </w:trPr>
              <w:tc>
                <w:tcPr>
                  <w:tcW w:w="514" w:type="dxa"/>
                </w:tcPr>
                <w:p w14:paraId="20447216" w14:textId="76088C7E" w:rsidR="00DB798F" w:rsidRPr="00C00A56" w:rsidRDefault="00DB798F" w:rsidP="00DB798F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№ з/п</w:t>
                  </w:r>
                </w:p>
              </w:tc>
              <w:tc>
                <w:tcPr>
                  <w:tcW w:w="3239" w:type="dxa"/>
                </w:tcPr>
                <w:p w14:paraId="7CD98C9B" w14:textId="4102C6F8" w:rsidR="00DB798F" w:rsidRPr="00C00A56" w:rsidRDefault="00DB798F" w:rsidP="00DB798F">
                  <w:pPr>
                    <w:ind w:left="35"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Вид інформації</w:t>
                  </w:r>
                </w:p>
              </w:tc>
              <w:tc>
                <w:tcPr>
                  <w:tcW w:w="3464" w:type="dxa"/>
                </w:tcPr>
                <w:p w14:paraId="40F4159D" w14:textId="2297E20D" w:rsidR="00DB798F" w:rsidRPr="00C00A56" w:rsidRDefault="00DB798F" w:rsidP="00DB798F">
                  <w:pPr>
                    <w:ind w:right="18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033E77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Інформація для заповнення страховиком</w:t>
                  </w:r>
                </w:p>
              </w:tc>
            </w:tr>
            <w:tr w:rsidR="00CA1861" w:rsidRPr="00C00A56" w14:paraId="066A76FA" w14:textId="77777777" w:rsidTr="00DB798F">
              <w:trPr>
                <w:trHeight w:val="573"/>
                <w:jc w:val="center"/>
              </w:trPr>
              <w:tc>
                <w:tcPr>
                  <w:tcW w:w="514" w:type="dxa"/>
                </w:tcPr>
                <w:p w14:paraId="130A7252" w14:textId="7BDF4FF6" w:rsidR="00CA1861" w:rsidRPr="00C00A56" w:rsidRDefault="00CA1861" w:rsidP="00CA1861">
                  <w:pPr>
                    <w:spacing w:before="360" w:after="360"/>
                    <w:ind w:right="17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21</w:t>
                  </w:r>
                </w:p>
              </w:tc>
              <w:tc>
                <w:tcPr>
                  <w:tcW w:w="3239" w:type="dxa"/>
                </w:tcPr>
                <w:p w14:paraId="12D0726F" w14:textId="2E07ACDA" w:rsidR="00CA1861" w:rsidRPr="00C00A56" w:rsidRDefault="00CA1861" w:rsidP="00CA1861">
                  <w:pPr>
                    <w:ind w:left="35"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Порядок   </w:t>
                  </w:r>
                  <w:r w:rsidR="00A70450" w:rsidRPr="00C00A56">
                    <w:rPr>
                      <w:rFonts w:ascii="Times New Roman" w:eastAsia="SimSu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(уключаючи розрахунок розміру) </w:t>
                  </w:r>
                  <w:r w:rsidRPr="00C00A56">
                    <w:rPr>
                      <w:rFonts w:ascii="Times New Roman" w:eastAsia="SimSu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00A56"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здійснення страхових виплат</w:t>
                  </w:r>
                </w:p>
              </w:tc>
              <w:tc>
                <w:tcPr>
                  <w:tcW w:w="3464" w:type="dxa"/>
                </w:tcPr>
                <w:p w14:paraId="61C2BA1B" w14:textId="77777777" w:rsidR="00CA1861" w:rsidRPr="00C00A56" w:rsidRDefault="00CA1861" w:rsidP="00CA1861">
                  <w:pPr>
                    <w:ind w:right="18"/>
                    <w:jc w:val="both"/>
                    <w:rPr>
                      <w:rFonts w:ascii="Times New Roman" w:eastAsia="SimSu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3D630E24" w14:textId="77777777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i/>
                <w:szCs w:val="28"/>
              </w:rPr>
            </w:pPr>
          </w:p>
          <w:p w14:paraId="51452C70" w14:textId="1C225332" w:rsidR="00CA1861" w:rsidRPr="00C00A56" w:rsidRDefault="00CA1861" w:rsidP="00CA1861">
            <w:pPr>
              <w:spacing w:after="0" w:line="240" w:lineRule="auto"/>
              <w:ind w:left="35" w:right="1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00A56">
              <w:rPr>
                <w:rFonts w:ascii="Times New Roman" w:hAnsi="Times New Roman" w:cs="Times New Roman"/>
                <w:i/>
                <w:sz w:val="24"/>
                <w:szCs w:val="24"/>
              </w:rPr>
              <w:t>з метою уточнення, що пункт 18 інформаційного документа про стандартний страховий продукт має містити також інформацію про порядок розрахунку розміру страхових виплат</w:t>
            </w:r>
          </w:p>
        </w:tc>
      </w:tr>
    </w:tbl>
    <w:p w14:paraId="699A5C34" w14:textId="77777777" w:rsidR="00465D3C" w:rsidRPr="00C00A56" w:rsidRDefault="00465D3C" w:rsidP="0046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02316" w14:textId="77777777" w:rsidR="00604EDB" w:rsidRPr="00C00A56" w:rsidRDefault="00604EDB"/>
    <w:sectPr w:rsidR="00604EDB" w:rsidRPr="00C00A56" w:rsidSect="00033E77">
      <w:pgSz w:w="16838" w:h="11906" w:orient="landscape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299"/>
    <w:multiLevelType w:val="hybridMultilevel"/>
    <w:tmpl w:val="3D4AAB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3096A"/>
    <w:multiLevelType w:val="hybridMultilevel"/>
    <w:tmpl w:val="DA8230B4"/>
    <w:lvl w:ilvl="0" w:tplc="E8DE1E3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2C130F"/>
    <w:multiLevelType w:val="hybridMultilevel"/>
    <w:tmpl w:val="26087C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A6DDE"/>
    <w:multiLevelType w:val="hybridMultilevel"/>
    <w:tmpl w:val="08921586"/>
    <w:lvl w:ilvl="0" w:tplc="DB282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5972"/>
    <w:multiLevelType w:val="hybridMultilevel"/>
    <w:tmpl w:val="A4422B76"/>
    <w:lvl w:ilvl="0" w:tplc="4FD29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85621"/>
    <w:multiLevelType w:val="hybridMultilevel"/>
    <w:tmpl w:val="C574AADA"/>
    <w:lvl w:ilvl="0" w:tplc="CE1A52AA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2FA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AAA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473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F29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216E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229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C9D9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836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27D11"/>
    <w:multiLevelType w:val="hybridMultilevel"/>
    <w:tmpl w:val="6ACC7984"/>
    <w:lvl w:ilvl="0" w:tplc="A23A0FD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DC547D"/>
    <w:multiLevelType w:val="hybridMultilevel"/>
    <w:tmpl w:val="8FAE7A0C"/>
    <w:lvl w:ilvl="0" w:tplc="824C0F84">
      <w:start w:val="1"/>
      <w:numFmt w:val="decimal"/>
      <w:suff w:val="space"/>
      <w:lvlText w:val="%1)"/>
      <w:lvlJc w:val="left"/>
      <w:pPr>
        <w:ind w:left="61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F20407"/>
    <w:multiLevelType w:val="hybridMultilevel"/>
    <w:tmpl w:val="4B2C2D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4352E"/>
    <w:multiLevelType w:val="hybridMultilevel"/>
    <w:tmpl w:val="2B62B9AA"/>
    <w:lvl w:ilvl="0" w:tplc="40CA0058">
      <w:start w:val="1"/>
      <w:numFmt w:val="decimal"/>
      <w:lvlText w:val="%1)"/>
      <w:lvlJc w:val="left"/>
      <w:pPr>
        <w:ind w:left="600" w:hanging="360"/>
      </w:pPr>
      <w:rPr>
        <w:rFonts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47A08CA"/>
    <w:multiLevelType w:val="hybridMultilevel"/>
    <w:tmpl w:val="23D87D10"/>
    <w:lvl w:ilvl="0" w:tplc="FEB28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440B5B"/>
    <w:multiLevelType w:val="hybridMultilevel"/>
    <w:tmpl w:val="38CEB3DC"/>
    <w:lvl w:ilvl="0" w:tplc="C5B2F8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92D36"/>
    <w:multiLevelType w:val="hybridMultilevel"/>
    <w:tmpl w:val="528C5F98"/>
    <w:lvl w:ilvl="0" w:tplc="A68018E2">
      <w:start w:val="1"/>
      <w:numFmt w:val="decimal"/>
      <w:lvlText w:val="%1)"/>
      <w:lvlJc w:val="left"/>
      <w:pPr>
        <w:ind w:left="600" w:hanging="360"/>
      </w:pPr>
      <w:rPr>
        <w:rFonts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5CD48C6"/>
    <w:multiLevelType w:val="hybridMultilevel"/>
    <w:tmpl w:val="D8F26450"/>
    <w:lvl w:ilvl="0" w:tplc="65225E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7712C5E"/>
    <w:multiLevelType w:val="hybridMultilevel"/>
    <w:tmpl w:val="BB4A74C2"/>
    <w:lvl w:ilvl="0" w:tplc="63AE9E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7F261CFC"/>
    <w:multiLevelType w:val="hybridMultilevel"/>
    <w:tmpl w:val="553C2F12"/>
    <w:lvl w:ilvl="0" w:tplc="A754E3E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B8"/>
    <w:rsid w:val="00026E91"/>
    <w:rsid w:val="00031746"/>
    <w:rsid w:val="00033E77"/>
    <w:rsid w:val="00034CBF"/>
    <w:rsid w:val="00071B6E"/>
    <w:rsid w:val="00086BA5"/>
    <w:rsid w:val="000A2235"/>
    <w:rsid w:val="0010604D"/>
    <w:rsid w:val="0016729C"/>
    <w:rsid w:val="001730F5"/>
    <w:rsid w:val="00185B70"/>
    <w:rsid w:val="00185FE5"/>
    <w:rsid w:val="0019115D"/>
    <w:rsid w:val="001A640B"/>
    <w:rsid w:val="001B7634"/>
    <w:rsid w:val="002166A2"/>
    <w:rsid w:val="00274494"/>
    <w:rsid w:val="00274B8B"/>
    <w:rsid w:val="00283D87"/>
    <w:rsid w:val="002D64E5"/>
    <w:rsid w:val="00306FE2"/>
    <w:rsid w:val="00335C3D"/>
    <w:rsid w:val="003771E3"/>
    <w:rsid w:val="003C5CAF"/>
    <w:rsid w:val="003D579D"/>
    <w:rsid w:val="003F39B5"/>
    <w:rsid w:val="003F53FB"/>
    <w:rsid w:val="00421037"/>
    <w:rsid w:val="00465D3C"/>
    <w:rsid w:val="00467029"/>
    <w:rsid w:val="004E7ACF"/>
    <w:rsid w:val="005115C1"/>
    <w:rsid w:val="00524FA6"/>
    <w:rsid w:val="00543D1A"/>
    <w:rsid w:val="005522B6"/>
    <w:rsid w:val="0059057B"/>
    <w:rsid w:val="005C7685"/>
    <w:rsid w:val="005D3AA6"/>
    <w:rsid w:val="005E4CD5"/>
    <w:rsid w:val="006041FC"/>
    <w:rsid w:val="00604EDB"/>
    <w:rsid w:val="00683A1B"/>
    <w:rsid w:val="00691B50"/>
    <w:rsid w:val="007A16B8"/>
    <w:rsid w:val="007F7DB7"/>
    <w:rsid w:val="0084110C"/>
    <w:rsid w:val="00871314"/>
    <w:rsid w:val="00896705"/>
    <w:rsid w:val="00947DC1"/>
    <w:rsid w:val="00977332"/>
    <w:rsid w:val="00A00BD9"/>
    <w:rsid w:val="00A32CD1"/>
    <w:rsid w:val="00A37D7A"/>
    <w:rsid w:val="00A42702"/>
    <w:rsid w:val="00A70450"/>
    <w:rsid w:val="00A8399F"/>
    <w:rsid w:val="00A85F58"/>
    <w:rsid w:val="00AB6BE1"/>
    <w:rsid w:val="00AD42E4"/>
    <w:rsid w:val="00AD5D0C"/>
    <w:rsid w:val="00AD7603"/>
    <w:rsid w:val="00AE5FBE"/>
    <w:rsid w:val="00AF202B"/>
    <w:rsid w:val="00B1167F"/>
    <w:rsid w:val="00B22CCD"/>
    <w:rsid w:val="00B24684"/>
    <w:rsid w:val="00B533F6"/>
    <w:rsid w:val="00B607FE"/>
    <w:rsid w:val="00BE29D0"/>
    <w:rsid w:val="00C00A56"/>
    <w:rsid w:val="00C11BFB"/>
    <w:rsid w:val="00CA1861"/>
    <w:rsid w:val="00CC09C6"/>
    <w:rsid w:val="00CF6F1C"/>
    <w:rsid w:val="00D036BE"/>
    <w:rsid w:val="00DB798F"/>
    <w:rsid w:val="00DF3C87"/>
    <w:rsid w:val="00E12D45"/>
    <w:rsid w:val="00E41103"/>
    <w:rsid w:val="00E4199D"/>
    <w:rsid w:val="00E618BB"/>
    <w:rsid w:val="00E75A29"/>
    <w:rsid w:val="00E76A46"/>
    <w:rsid w:val="00E82CB8"/>
    <w:rsid w:val="00E94046"/>
    <w:rsid w:val="00EC67A6"/>
    <w:rsid w:val="00EC72D8"/>
    <w:rsid w:val="00EE167B"/>
    <w:rsid w:val="00F16822"/>
    <w:rsid w:val="00F534E0"/>
    <w:rsid w:val="00F66504"/>
    <w:rsid w:val="00F84F53"/>
    <w:rsid w:val="00F900BD"/>
    <w:rsid w:val="00FA1214"/>
    <w:rsid w:val="00FB1B65"/>
    <w:rsid w:val="00FB6D33"/>
    <w:rsid w:val="00FC65D9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D3F8"/>
  <w15:chartTrackingRefBased/>
  <w15:docId w15:val="{DD74F146-BB05-46BF-83CB-BCD68F6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3C"/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465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D3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3">
    <w:name w:val="Базовый"/>
    <w:rsid w:val="00465D3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rsid w:val="00465D3C"/>
    <w:rPr>
      <w:sz w:val="16"/>
      <w:szCs w:val="16"/>
    </w:rPr>
  </w:style>
  <w:style w:type="character" w:customStyle="1" w:styleId="a5">
    <w:name w:val="Текст примітки Знак"/>
    <w:basedOn w:val="a0"/>
    <w:uiPriority w:val="99"/>
    <w:rsid w:val="00465D3C"/>
    <w:rPr>
      <w:sz w:val="20"/>
      <w:szCs w:val="20"/>
    </w:rPr>
  </w:style>
  <w:style w:type="character" w:customStyle="1" w:styleId="a6">
    <w:name w:val="Тема примітки Знак"/>
    <w:basedOn w:val="a5"/>
    <w:rsid w:val="00465D3C"/>
    <w:rPr>
      <w:b/>
      <w:bCs/>
      <w:sz w:val="20"/>
      <w:szCs w:val="20"/>
    </w:rPr>
  </w:style>
  <w:style w:type="character" w:customStyle="1" w:styleId="a7">
    <w:name w:val="Текст у виносці Знак"/>
    <w:basedOn w:val="a0"/>
    <w:rsid w:val="00465D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65D3C"/>
  </w:style>
  <w:style w:type="character" w:customStyle="1" w:styleId="-">
    <w:name w:val="Интернет-ссылка"/>
    <w:basedOn w:val="a0"/>
    <w:rsid w:val="00465D3C"/>
    <w:rPr>
      <w:color w:val="0000FF"/>
      <w:u w:val="single"/>
      <w:lang w:val="ru-RU" w:eastAsia="ru-RU" w:bidi="ru-RU"/>
    </w:rPr>
  </w:style>
  <w:style w:type="paragraph" w:styleId="a8">
    <w:name w:val="Title"/>
    <w:basedOn w:val="a3"/>
    <w:next w:val="a9"/>
    <w:link w:val="aa"/>
    <w:rsid w:val="00465D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a">
    <w:name w:val="Назва Знак"/>
    <w:basedOn w:val="a0"/>
    <w:link w:val="a8"/>
    <w:rsid w:val="00465D3C"/>
    <w:rPr>
      <w:rFonts w:ascii="Arial" w:eastAsia="Microsoft YaHei" w:hAnsi="Arial" w:cs="Mangal"/>
      <w:color w:val="000000"/>
      <w:sz w:val="28"/>
      <w:szCs w:val="28"/>
    </w:rPr>
  </w:style>
  <w:style w:type="paragraph" w:styleId="a9">
    <w:name w:val="Body Text"/>
    <w:basedOn w:val="a3"/>
    <w:link w:val="ab"/>
    <w:rsid w:val="00465D3C"/>
    <w:pPr>
      <w:spacing w:after="120"/>
    </w:pPr>
  </w:style>
  <w:style w:type="character" w:customStyle="1" w:styleId="ab">
    <w:name w:val="Основний текст Знак"/>
    <w:basedOn w:val="a0"/>
    <w:link w:val="a9"/>
    <w:rsid w:val="00465D3C"/>
    <w:rPr>
      <w:rFonts w:ascii="Times New Roman" w:eastAsia="SimSun" w:hAnsi="Times New Roman" w:cs="Times New Roman"/>
      <w:color w:val="000000"/>
      <w:sz w:val="24"/>
      <w:szCs w:val="24"/>
    </w:rPr>
  </w:style>
  <w:style w:type="paragraph" w:styleId="ac">
    <w:name w:val="List"/>
    <w:basedOn w:val="a9"/>
    <w:rsid w:val="00465D3C"/>
    <w:rPr>
      <w:rFonts w:cs="Mangal"/>
    </w:rPr>
  </w:style>
  <w:style w:type="paragraph" w:customStyle="1" w:styleId="1">
    <w:name w:val="Название1"/>
    <w:basedOn w:val="a3"/>
    <w:rsid w:val="00465D3C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rsid w:val="00465D3C"/>
    <w:pPr>
      <w:spacing w:after="0" w:line="240" w:lineRule="auto"/>
      <w:ind w:left="220" w:hanging="220"/>
    </w:pPr>
  </w:style>
  <w:style w:type="paragraph" w:styleId="ad">
    <w:name w:val="index heading"/>
    <w:basedOn w:val="a3"/>
    <w:rsid w:val="00465D3C"/>
    <w:pPr>
      <w:suppressLineNumbers/>
    </w:pPr>
    <w:rPr>
      <w:rFonts w:cs="Mangal"/>
    </w:rPr>
  </w:style>
  <w:style w:type="paragraph" w:styleId="ae">
    <w:name w:val="List Paragraph"/>
    <w:basedOn w:val="a3"/>
    <w:uiPriority w:val="34"/>
    <w:qFormat/>
    <w:rsid w:val="00465D3C"/>
    <w:pPr>
      <w:spacing w:after="160"/>
      <w:ind w:left="720"/>
      <w:contextualSpacing/>
    </w:pPr>
  </w:style>
  <w:style w:type="paragraph" w:styleId="af">
    <w:name w:val="annotation text"/>
    <w:basedOn w:val="a3"/>
    <w:link w:val="11"/>
    <w:uiPriority w:val="99"/>
    <w:rsid w:val="00465D3C"/>
    <w:rPr>
      <w:sz w:val="20"/>
      <w:szCs w:val="20"/>
    </w:rPr>
  </w:style>
  <w:style w:type="character" w:customStyle="1" w:styleId="11">
    <w:name w:val="Текст примітки Знак1"/>
    <w:basedOn w:val="a0"/>
    <w:link w:val="af"/>
    <w:uiPriority w:val="99"/>
    <w:rsid w:val="00465D3C"/>
    <w:rPr>
      <w:rFonts w:ascii="Times New Roman" w:eastAsia="SimSun" w:hAnsi="Times New Roman" w:cs="Times New Roman"/>
      <w:color w:val="000000"/>
      <w:sz w:val="20"/>
      <w:szCs w:val="20"/>
    </w:rPr>
  </w:style>
  <w:style w:type="paragraph" w:styleId="af0">
    <w:name w:val="annotation subject"/>
    <w:basedOn w:val="af"/>
    <w:link w:val="12"/>
    <w:rsid w:val="00465D3C"/>
    <w:rPr>
      <w:b/>
      <w:bCs/>
    </w:rPr>
  </w:style>
  <w:style w:type="character" w:customStyle="1" w:styleId="12">
    <w:name w:val="Тема примітки Знак1"/>
    <w:basedOn w:val="11"/>
    <w:link w:val="af0"/>
    <w:rsid w:val="00465D3C"/>
    <w:rPr>
      <w:rFonts w:ascii="Times New Roman" w:eastAsia="SimSun" w:hAnsi="Times New Roman" w:cs="Times New Roman"/>
      <w:b/>
      <w:bCs/>
      <w:color w:val="000000"/>
      <w:sz w:val="20"/>
      <w:szCs w:val="20"/>
    </w:rPr>
  </w:style>
  <w:style w:type="paragraph" w:styleId="af1">
    <w:name w:val="Balloon Text"/>
    <w:basedOn w:val="a3"/>
    <w:link w:val="13"/>
    <w:rsid w:val="00465D3C"/>
    <w:rPr>
      <w:rFonts w:ascii="Segoe UI" w:hAnsi="Segoe UI" w:cs="Segoe UI"/>
      <w:sz w:val="18"/>
      <w:szCs w:val="18"/>
    </w:rPr>
  </w:style>
  <w:style w:type="character" w:customStyle="1" w:styleId="13">
    <w:name w:val="Текст у виносці Знак1"/>
    <w:basedOn w:val="a0"/>
    <w:link w:val="af1"/>
    <w:rsid w:val="00465D3C"/>
    <w:rPr>
      <w:rFonts w:ascii="Segoe UI" w:eastAsia="SimSun" w:hAnsi="Segoe UI" w:cs="Segoe UI"/>
      <w:color w:val="000000"/>
      <w:sz w:val="18"/>
      <w:szCs w:val="18"/>
    </w:rPr>
  </w:style>
  <w:style w:type="paragraph" w:customStyle="1" w:styleId="af2">
    <w:name w:val="Содержимое таблицы"/>
    <w:basedOn w:val="a3"/>
    <w:rsid w:val="00465D3C"/>
    <w:pPr>
      <w:suppressLineNumbers/>
    </w:pPr>
  </w:style>
  <w:style w:type="paragraph" w:customStyle="1" w:styleId="af3">
    <w:name w:val="Заголовок таблицы"/>
    <w:basedOn w:val="af2"/>
    <w:rsid w:val="00465D3C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65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65D3C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qFormat/>
    <w:rsid w:val="0046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pkaDocumentu">
    <w:name w:val="Shapka Documentu"/>
    <w:basedOn w:val="a"/>
    <w:rsid w:val="00465D3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f4">
    <w:name w:val="Table Grid"/>
    <w:basedOn w:val="a1"/>
    <w:uiPriority w:val="39"/>
    <w:rsid w:val="00465D3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ітка таблиці (світла)1"/>
    <w:basedOn w:val="a1"/>
    <w:uiPriority w:val="40"/>
    <w:rsid w:val="00465D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65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ітка таблиці1"/>
    <w:basedOn w:val="a1"/>
    <w:next w:val="af4"/>
    <w:uiPriority w:val="39"/>
    <w:rsid w:val="0046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qFormat/>
    <w:rsid w:val="00465D3C"/>
  </w:style>
  <w:style w:type="character" w:customStyle="1" w:styleId="CommentReference">
    <w:name w:val="Comment Reference"/>
    <w:qFormat/>
    <w:rsid w:val="00465D3C"/>
    <w:rPr>
      <w:sz w:val="16"/>
      <w:szCs w:val="16"/>
    </w:rPr>
  </w:style>
  <w:style w:type="character" w:styleId="af5">
    <w:name w:val="Hyperlink"/>
    <w:basedOn w:val="a0"/>
    <w:uiPriority w:val="99"/>
    <w:unhideWhenUsed/>
    <w:rsid w:val="00465D3C"/>
    <w:rPr>
      <w:color w:val="0000FF"/>
      <w:u w:val="single"/>
    </w:rPr>
  </w:style>
  <w:style w:type="paragraph" w:customStyle="1" w:styleId="StyleZakonu">
    <w:name w:val="StyleZakonu"/>
    <w:basedOn w:val="a"/>
    <w:link w:val="StyleZakonu0"/>
    <w:rsid w:val="00465D3C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465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40">
    <w:name w:val="rvts40"/>
    <w:basedOn w:val="a0"/>
    <w:rsid w:val="00465D3C"/>
  </w:style>
  <w:style w:type="character" w:customStyle="1" w:styleId="rvts37">
    <w:name w:val="rvts37"/>
    <w:basedOn w:val="a0"/>
    <w:rsid w:val="00465D3C"/>
  </w:style>
  <w:style w:type="character" w:customStyle="1" w:styleId="rvts52">
    <w:name w:val="rvts52"/>
    <w:basedOn w:val="a0"/>
    <w:rsid w:val="00465D3C"/>
  </w:style>
  <w:style w:type="character" w:customStyle="1" w:styleId="rvts9">
    <w:name w:val="rvts9"/>
    <w:basedOn w:val="a0"/>
    <w:rsid w:val="00465D3C"/>
  </w:style>
  <w:style w:type="paragraph" w:styleId="af6">
    <w:name w:val="Revision"/>
    <w:hidden/>
    <w:uiPriority w:val="99"/>
    <w:semiHidden/>
    <w:rsid w:val="000A2235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11679</Words>
  <Characters>6658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Подольчук Олег Володимирович</dc:creator>
  <cp:keywords/>
  <dc:description/>
  <cp:lastModifiedBy>Подольчук Олег Володимирович</cp:lastModifiedBy>
  <cp:revision>27</cp:revision>
  <dcterms:created xsi:type="dcterms:W3CDTF">2024-09-02T08:47:00Z</dcterms:created>
  <dcterms:modified xsi:type="dcterms:W3CDTF">2024-10-01T07:52:00Z</dcterms:modified>
</cp:coreProperties>
</file>