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9F474" w14:textId="77777777" w:rsidR="00E443CF" w:rsidRPr="00D927F6" w:rsidRDefault="00E443CF" w:rsidP="00C80921">
      <w:pPr>
        <w:pStyle w:val="a4"/>
        <w:spacing w:before="0" w:beforeAutospacing="0" w:after="0" w:afterAutospacing="0"/>
        <w:jc w:val="center"/>
        <w:rPr>
          <w:b/>
          <w:sz w:val="28"/>
          <w:szCs w:val="28"/>
        </w:rPr>
      </w:pPr>
      <w:r w:rsidRPr="00D927F6">
        <w:rPr>
          <w:b/>
          <w:sz w:val="28"/>
          <w:szCs w:val="28"/>
        </w:rPr>
        <w:t>Порівняльна таблиця</w:t>
      </w:r>
    </w:p>
    <w:p w14:paraId="63A3E406" w14:textId="1D1CB042" w:rsidR="00E443CF" w:rsidRPr="00D927F6" w:rsidRDefault="00535848" w:rsidP="00C80921">
      <w:pPr>
        <w:pStyle w:val="a4"/>
        <w:spacing w:before="0" w:beforeAutospacing="0" w:after="0" w:afterAutospacing="0"/>
        <w:ind w:firstLine="709"/>
        <w:jc w:val="center"/>
        <w:rPr>
          <w:rFonts w:eastAsia="SimSun"/>
          <w:b/>
          <w:sz w:val="28"/>
          <w:szCs w:val="28"/>
        </w:rPr>
      </w:pPr>
      <w:r w:rsidRPr="00535848">
        <w:rPr>
          <w:b/>
          <w:sz w:val="28"/>
          <w:szCs w:val="28"/>
        </w:rPr>
        <w:t xml:space="preserve">до проєкту постанови Правління Національного банку України “Про затвердження </w:t>
      </w:r>
      <w:r w:rsidR="00E12E20" w:rsidRPr="00E12E20">
        <w:rPr>
          <w:b/>
          <w:sz w:val="28"/>
          <w:szCs w:val="28"/>
        </w:rPr>
        <w:t>Положення про вимоги до системи корпоративного управління та системи внутрішньог</w:t>
      </w:r>
      <w:r w:rsidR="00E12E20">
        <w:rPr>
          <w:b/>
          <w:sz w:val="28"/>
          <w:szCs w:val="28"/>
        </w:rPr>
        <w:t>о контролю фінансових компаній</w:t>
      </w:r>
      <w:r w:rsidRPr="00535848">
        <w:rPr>
          <w:b/>
          <w:sz w:val="28"/>
          <w:szCs w:val="28"/>
        </w:rPr>
        <w:t xml:space="preserve"> та </w:t>
      </w:r>
      <w:r w:rsidR="000A4065">
        <w:rPr>
          <w:b/>
          <w:sz w:val="28"/>
          <w:szCs w:val="28"/>
        </w:rPr>
        <w:t>З</w:t>
      </w:r>
      <w:r w:rsidRPr="00535848">
        <w:rPr>
          <w:b/>
          <w:sz w:val="28"/>
          <w:szCs w:val="28"/>
        </w:rPr>
        <w:t>мін до деяких нормативно-правових актів Національного банку України</w:t>
      </w:r>
      <w:bookmarkStart w:id="0" w:name="_GoBack"/>
      <w:bookmarkEnd w:id="0"/>
      <w:r w:rsidRPr="00535848">
        <w:rPr>
          <w:b/>
          <w:sz w:val="28"/>
          <w:szCs w:val="28"/>
        </w:rPr>
        <w:t>”</w:t>
      </w:r>
    </w:p>
    <w:p w14:paraId="216FAAE0" w14:textId="77777777" w:rsidR="00E443CF" w:rsidRPr="008C0810" w:rsidRDefault="00E443CF" w:rsidP="00C80921">
      <w:pPr>
        <w:pStyle w:val="a4"/>
        <w:spacing w:before="0" w:beforeAutospacing="0" w:after="0" w:afterAutospacing="0"/>
        <w:ind w:firstLine="709"/>
        <w:jc w:val="center"/>
        <w:rPr>
          <w:rFonts w:eastAsia="SimSun"/>
          <w:b/>
          <w:sz w:val="28"/>
          <w:szCs w:val="28"/>
        </w:rPr>
      </w:pPr>
      <w:r w:rsidRPr="008C0810">
        <w:rPr>
          <w:rFonts w:eastAsia="SimSun"/>
          <w:b/>
          <w:sz w:val="28"/>
          <w:szCs w:val="28"/>
        </w:rPr>
        <w:t> </w:t>
      </w:r>
    </w:p>
    <w:tbl>
      <w:tblPr>
        <w:tblStyle w:val="a3"/>
        <w:tblW w:w="5062" w:type="pct"/>
        <w:tblBorders>
          <w:bottom w:val="none" w:sz="0" w:space="0" w:color="auto"/>
        </w:tblBorders>
        <w:tblLook w:val="04A0" w:firstRow="1" w:lastRow="0" w:firstColumn="1" w:lastColumn="0" w:noHBand="0" w:noVBand="1"/>
      </w:tblPr>
      <w:tblGrid>
        <w:gridCol w:w="705"/>
        <w:gridCol w:w="6802"/>
        <w:gridCol w:w="6946"/>
      </w:tblGrid>
      <w:tr w:rsidR="00422D47" w:rsidRPr="00B24F3A" w14:paraId="31BAC153" w14:textId="77777777" w:rsidTr="005A4971">
        <w:tc>
          <w:tcPr>
            <w:tcW w:w="244" w:type="pct"/>
          </w:tcPr>
          <w:p w14:paraId="53FB0E0B" w14:textId="77777777" w:rsidR="001E5C9D" w:rsidRPr="00B24F3A" w:rsidRDefault="001E5C9D" w:rsidP="00C80921">
            <w:pPr>
              <w:pStyle w:val="a4"/>
              <w:spacing w:before="0" w:beforeAutospacing="0" w:after="0" w:afterAutospacing="0"/>
              <w:jc w:val="center"/>
              <w:rPr>
                <w:szCs w:val="28"/>
              </w:rPr>
            </w:pPr>
            <w:r w:rsidRPr="00B24F3A">
              <w:rPr>
                <w:szCs w:val="28"/>
              </w:rPr>
              <w:t>№ з/п</w:t>
            </w:r>
          </w:p>
        </w:tc>
        <w:tc>
          <w:tcPr>
            <w:tcW w:w="2353" w:type="pct"/>
            <w:hideMark/>
          </w:tcPr>
          <w:p w14:paraId="61569E73" w14:textId="77777777" w:rsidR="001E5C9D" w:rsidRPr="00B24F3A" w:rsidRDefault="001E5C9D" w:rsidP="00C80921">
            <w:pPr>
              <w:pStyle w:val="a4"/>
              <w:spacing w:before="0" w:beforeAutospacing="0" w:after="0" w:afterAutospacing="0"/>
              <w:jc w:val="center"/>
              <w:rPr>
                <w:szCs w:val="28"/>
              </w:rPr>
            </w:pPr>
            <w:r w:rsidRPr="00B24F3A">
              <w:rPr>
                <w:szCs w:val="28"/>
              </w:rPr>
              <w:t>Зміст положення (норми) чинного нормативно-правового акта</w:t>
            </w:r>
          </w:p>
        </w:tc>
        <w:tc>
          <w:tcPr>
            <w:tcW w:w="2403" w:type="pct"/>
            <w:hideMark/>
          </w:tcPr>
          <w:p w14:paraId="5309958A" w14:textId="77777777" w:rsidR="001E5C9D" w:rsidRPr="00B24F3A" w:rsidRDefault="001E5C9D" w:rsidP="00C80921">
            <w:pPr>
              <w:pStyle w:val="a4"/>
              <w:spacing w:before="0" w:beforeAutospacing="0" w:after="0" w:afterAutospacing="0"/>
              <w:jc w:val="center"/>
              <w:rPr>
                <w:szCs w:val="28"/>
              </w:rPr>
            </w:pPr>
            <w:r w:rsidRPr="00B24F3A">
              <w:rPr>
                <w:szCs w:val="28"/>
              </w:rPr>
              <w:t>Зміст відповідного положення (норми) проєкту нормативно-правового акта</w:t>
            </w:r>
          </w:p>
        </w:tc>
      </w:tr>
    </w:tbl>
    <w:p w14:paraId="64976019" w14:textId="77777777" w:rsidR="00D01832" w:rsidRPr="00D927F6" w:rsidRDefault="00D01832" w:rsidP="00C80921">
      <w:pPr>
        <w:pStyle w:val="a4"/>
        <w:tabs>
          <w:tab w:val="left" w:pos="4789"/>
        </w:tabs>
        <w:spacing w:before="0" w:beforeAutospacing="0" w:after="0" w:afterAutospacing="0"/>
        <w:ind w:left="113"/>
        <w:rPr>
          <w:sz w:val="2"/>
          <w:szCs w:val="2"/>
        </w:rPr>
      </w:pPr>
      <w:r w:rsidRPr="00D927F6">
        <w:rPr>
          <w:sz w:val="2"/>
          <w:szCs w:val="2"/>
        </w:rPr>
        <w:tab/>
      </w:r>
    </w:p>
    <w:tbl>
      <w:tblPr>
        <w:tblStyle w:val="a3"/>
        <w:tblW w:w="14454" w:type="dxa"/>
        <w:tblLayout w:type="fixed"/>
        <w:tblLook w:val="04A0" w:firstRow="1" w:lastRow="0" w:firstColumn="1" w:lastColumn="0" w:noHBand="0" w:noVBand="1"/>
      </w:tblPr>
      <w:tblGrid>
        <w:gridCol w:w="704"/>
        <w:gridCol w:w="6804"/>
        <w:gridCol w:w="17"/>
        <w:gridCol w:w="6929"/>
      </w:tblGrid>
      <w:tr w:rsidR="00825C2D" w:rsidRPr="00825C2D" w14:paraId="7752301D" w14:textId="77777777" w:rsidTr="00BA5270">
        <w:trPr>
          <w:trHeight w:val="20"/>
          <w:tblHeader/>
        </w:trPr>
        <w:tc>
          <w:tcPr>
            <w:tcW w:w="704" w:type="dxa"/>
          </w:tcPr>
          <w:p w14:paraId="1E4E7BD8" w14:textId="77777777" w:rsidR="001E5C9D" w:rsidRPr="00825C2D" w:rsidRDefault="001E5C9D" w:rsidP="00B24F3A">
            <w:pPr>
              <w:pStyle w:val="a4"/>
              <w:widowControl w:val="0"/>
              <w:spacing w:before="0" w:beforeAutospacing="0" w:after="0" w:afterAutospacing="0"/>
              <w:jc w:val="center"/>
            </w:pPr>
            <w:r w:rsidRPr="00825C2D">
              <w:t>1</w:t>
            </w:r>
          </w:p>
        </w:tc>
        <w:tc>
          <w:tcPr>
            <w:tcW w:w="6804" w:type="dxa"/>
            <w:hideMark/>
          </w:tcPr>
          <w:p w14:paraId="43F1E25D" w14:textId="77777777" w:rsidR="001E5C9D" w:rsidRPr="00825C2D" w:rsidRDefault="001E5C9D" w:rsidP="00B24F3A">
            <w:pPr>
              <w:pStyle w:val="a4"/>
              <w:widowControl w:val="0"/>
              <w:spacing w:before="0" w:beforeAutospacing="0" w:after="0" w:afterAutospacing="0"/>
              <w:jc w:val="center"/>
            </w:pPr>
            <w:r w:rsidRPr="00825C2D">
              <w:t>2</w:t>
            </w:r>
          </w:p>
        </w:tc>
        <w:tc>
          <w:tcPr>
            <w:tcW w:w="6946" w:type="dxa"/>
            <w:gridSpan w:val="2"/>
            <w:hideMark/>
          </w:tcPr>
          <w:p w14:paraId="3185DBE8" w14:textId="77777777" w:rsidR="001E5C9D" w:rsidRPr="00825C2D" w:rsidRDefault="001E5C9D" w:rsidP="00B24F3A">
            <w:pPr>
              <w:pStyle w:val="a4"/>
              <w:widowControl w:val="0"/>
              <w:spacing w:before="0" w:beforeAutospacing="0" w:after="0" w:afterAutospacing="0"/>
              <w:jc w:val="center"/>
            </w:pPr>
            <w:r w:rsidRPr="00825C2D">
              <w:t>3</w:t>
            </w:r>
          </w:p>
        </w:tc>
      </w:tr>
      <w:tr w:rsidR="00825C2D" w:rsidRPr="00825C2D" w14:paraId="06879D10" w14:textId="77777777" w:rsidTr="000B7424">
        <w:trPr>
          <w:trHeight w:val="20"/>
        </w:trPr>
        <w:tc>
          <w:tcPr>
            <w:tcW w:w="704" w:type="dxa"/>
          </w:tcPr>
          <w:p w14:paraId="270CCAC3" w14:textId="77777777" w:rsidR="00535848" w:rsidRPr="00825C2D" w:rsidRDefault="00535848" w:rsidP="00B24F3A">
            <w:pPr>
              <w:pStyle w:val="a4"/>
              <w:widowControl w:val="0"/>
              <w:numPr>
                <w:ilvl w:val="0"/>
                <w:numId w:val="6"/>
              </w:numPr>
              <w:tabs>
                <w:tab w:val="left" w:pos="311"/>
              </w:tabs>
              <w:spacing w:before="0" w:beforeAutospacing="0" w:after="0" w:afterAutospacing="0"/>
              <w:ind w:left="0" w:firstLine="0"/>
              <w:jc w:val="center"/>
            </w:pPr>
          </w:p>
        </w:tc>
        <w:tc>
          <w:tcPr>
            <w:tcW w:w="13750" w:type="dxa"/>
            <w:gridSpan w:val="3"/>
          </w:tcPr>
          <w:p w14:paraId="30CB68FE" w14:textId="77777777" w:rsidR="00535848" w:rsidRPr="00825C2D" w:rsidRDefault="00E6215B" w:rsidP="00E12E20">
            <w:pPr>
              <w:jc w:val="center"/>
              <w:rPr>
                <w:b/>
                <w:sz w:val="24"/>
                <w:szCs w:val="24"/>
                <w:shd w:val="clear" w:color="auto" w:fill="FFFFFF"/>
              </w:rPr>
            </w:pPr>
            <w:r w:rsidRPr="00E6215B">
              <w:rPr>
                <w:b/>
                <w:sz w:val="24"/>
                <w:szCs w:val="24"/>
                <w:shd w:val="clear" w:color="auto" w:fill="FFFFFF"/>
              </w:rPr>
              <w:t>Положення про регулювання діяльності фінансових компаній, які мають право здійснювати діяльність з надання гарантій, затверджене постановою Правління Національного банку України від 27.12.2023 № 191</w:t>
            </w:r>
          </w:p>
        </w:tc>
      </w:tr>
      <w:tr w:rsidR="00825C2D" w:rsidRPr="00825C2D" w14:paraId="5159FCAF" w14:textId="77777777" w:rsidTr="00535848">
        <w:trPr>
          <w:trHeight w:val="20"/>
        </w:trPr>
        <w:tc>
          <w:tcPr>
            <w:tcW w:w="704" w:type="dxa"/>
          </w:tcPr>
          <w:p w14:paraId="1BA1188D" w14:textId="77777777" w:rsidR="00535848" w:rsidRPr="00825C2D" w:rsidRDefault="00535848" w:rsidP="00B24F3A">
            <w:pPr>
              <w:pStyle w:val="a4"/>
              <w:widowControl w:val="0"/>
              <w:numPr>
                <w:ilvl w:val="0"/>
                <w:numId w:val="6"/>
              </w:numPr>
              <w:tabs>
                <w:tab w:val="left" w:pos="311"/>
              </w:tabs>
              <w:spacing w:before="0" w:beforeAutospacing="0" w:after="0" w:afterAutospacing="0"/>
              <w:ind w:left="0" w:firstLine="0"/>
              <w:jc w:val="center"/>
            </w:pPr>
          </w:p>
        </w:tc>
        <w:tc>
          <w:tcPr>
            <w:tcW w:w="6821" w:type="dxa"/>
            <w:gridSpan w:val="2"/>
          </w:tcPr>
          <w:p w14:paraId="0E37935F" w14:textId="77777777" w:rsidR="00535848" w:rsidRPr="00825C2D" w:rsidRDefault="00535848" w:rsidP="00535848">
            <w:pPr>
              <w:pStyle w:val="ae"/>
              <w:numPr>
                <w:ilvl w:val="0"/>
                <w:numId w:val="21"/>
              </w:numPr>
              <w:ind w:hanging="1080"/>
              <w:jc w:val="left"/>
              <w:rPr>
                <w:b/>
                <w:sz w:val="24"/>
                <w:szCs w:val="24"/>
                <w:shd w:val="clear" w:color="auto" w:fill="FFFFFF"/>
              </w:rPr>
            </w:pPr>
            <w:r w:rsidRPr="00825C2D">
              <w:rPr>
                <w:sz w:val="24"/>
                <w:szCs w:val="24"/>
              </w:rPr>
              <w:t>Загальні положення</w:t>
            </w:r>
          </w:p>
        </w:tc>
        <w:tc>
          <w:tcPr>
            <w:tcW w:w="6929" w:type="dxa"/>
          </w:tcPr>
          <w:p w14:paraId="051D5531" w14:textId="77777777" w:rsidR="00535848" w:rsidRPr="00825C2D" w:rsidRDefault="00535848" w:rsidP="00B24F3A">
            <w:pPr>
              <w:jc w:val="center"/>
              <w:rPr>
                <w:b/>
                <w:sz w:val="24"/>
                <w:szCs w:val="24"/>
                <w:shd w:val="clear" w:color="auto" w:fill="FFFFFF"/>
              </w:rPr>
            </w:pPr>
          </w:p>
        </w:tc>
      </w:tr>
      <w:tr w:rsidR="00535848" w:rsidRPr="00825C2D" w14:paraId="4CCFB096" w14:textId="77777777" w:rsidTr="00535848">
        <w:trPr>
          <w:trHeight w:val="20"/>
        </w:trPr>
        <w:tc>
          <w:tcPr>
            <w:tcW w:w="704" w:type="dxa"/>
          </w:tcPr>
          <w:p w14:paraId="043FB525" w14:textId="77777777" w:rsidR="00535848" w:rsidRPr="00825C2D" w:rsidRDefault="00535848" w:rsidP="00535848">
            <w:pPr>
              <w:pStyle w:val="a4"/>
              <w:widowControl w:val="0"/>
              <w:numPr>
                <w:ilvl w:val="0"/>
                <w:numId w:val="6"/>
              </w:numPr>
              <w:tabs>
                <w:tab w:val="left" w:pos="311"/>
              </w:tabs>
              <w:spacing w:before="0" w:beforeAutospacing="0" w:after="0" w:afterAutospacing="0"/>
              <w:ind w:left="0" w:firstLine="0"/>
              <w:jc w:val="center"/>
            </w:pPr>
          </w:p>
        </w:tc>
        <w:tc>
          <w:tcPr>
            <w:tcW w:w="6821" w:type="dxa"/>
            <w:gridSpan w:val="2"/>
          </w:tcPr>
          <w:p w14:paraId="1B1511AD" w14:textId="77777777" w:rsidR="00535848" w:rsidRPr="00825C2D" w:rsidRDefault="00535848" w:rsidP="00390303">
            <w:pPr>
              <w:pStyle w:val="rvps2"/>
              <w:shd w:val="clear" w:color="auto" w:fill="FFFFFF"/>
              <w:spacing w:before="0" w:beforeAutospacing="0" w:after="150" w:afterAutospacing="0"/>
              <w:ind w:firstLine="30"/>
              <w:jc w:val="both"/>
            </w:pPr>
            <w:r w:rsidRPr="00825C2D">
              <w:t>9. Небанківський гарант зобов’язаний щодня станом на будь-яку дату протягом усього строку дії ліцензії розраховувати на підставі даних бухгалтерського обліку, облікової системи небанківського гаранта:</w:t>
            </w:r>
          </w:p>
          <w:p w14:paraId="1253ED65" w14:textId="77777777" w:rsidR="00535848" w:rsidRPr="00825C2D" w:rsidRDefault="00535848" w:rsidP="00390303">
            <w:pPr>
              <w:pStyle w:val="rvps2"/>
              <w:shd w:val="clear" w:color="auto" w:fill="FFFFFF"/>
              <w:spacing w:before="0" w:beforeAutospacing="0" w:after="150" w:afterAutospacing="0"/>
              <w:ind w:firstLine="30"/>
              <w:jc w:val="both"/>
            </w:pPr>
            <w:bookmarkStart w:id="1" w:name="n46"/>
            <w:bookmarkEnd w:id="1"/>
            <w:r w:rsidRPr="00825C2D">
              <w:t>1) співвідношення активів, що зазначені в </w:t>
            </w:r>
            <w:r w:rsidRPr="00825C2D">
              <w:rPr>
                <w:rFonts w:eastAsiaTheme="minorEastAsia"/>
              </w:rPr>
              <w:t>підпункті 1</w:t>
            </w:r>
            <w:r w:rsidRPr="00825C2D">
              <w:t> пункту 8 розділу I цього Положення, та мінімального статутного капіталу небанківського гаранта;</w:t>
            </w:r>
          </w:p>
          <w:p w14:paraId="38C70379" w14:textId="77777777" w:rsidR="00535848" w:rsidRPr="00825C2D" w:rsidRDefault="00535848" w:rsidP="00390303">
            <w:pPr>
              <w:pStyle w:val="rvps2"/>
              <w:shd w:val="clear" w:color="auto" w:fill="FFFFFF"/>
              <w:spacing w:before="0" w:beforeAutospacing="0" w:after="150" w:afterAutospacing="0"/>
              <w:ind w:firstLine="30"/>
              <w:jc w:val="both"/>
            </w:pPr>
            <w:bookmarkStart w:id="2" w:name="n47"/>
            <w:bookmarkEnd w:id="2"/>
            <w:r w:rsidRPr="00825C2D">
              <w:t>2) пруденційні нормативи, передбачені цим Положенням.</w:t>
            </w:r>
          </w:p>
          <w:p w14:paraId="45DD133F" w14:textId="77777777" w:rsidR="00535848" w:rsidRPr="00825C2D" w:rsidRDefault="00535848" w:rsidP="00390303">
            <w:pPr>
              <w:pStyle w:val="rvps2"/>
              <w:shd w:val="clear" w:color="auto" w:fill="FFFFFF"/>
              <w:spacing w:before="0" w:beforeAutospacing="0" w:after="150" w:afterAutospacing="0"/>
              <w:ind w:firstLine="30"/>
              <w:jc w:val="both"/>
            </w:pPr>
            <w:bookmarkStart w:id="3" w:name="n48"/>
            <w:bookmarkEnd w:id="3"/>
            <w:r w:rsidRPr="00825C2D">
              <w:t>10. Небанківський гарант зобов’язаний:</w:t>
            </w:r>
          </w:p>
          <w:p w14:paraId="4D382D01" w14:textId="77777777" w:rsidR="00535848" w:rsidRPr="00825C2D" w:rsidRDefault="00535848" w:rsidP="00390303">
            <w:pPr>
              <w:pStyle w:val="rvps2"/>
              <w:shd w:val="clear" w:color="auto" w:fill="FFFFFF"/>
              <w:spacing w:before="0" w:beforeAutospacing="0" w:after="150" w:afterAutospacing="0"/>
              <w:ind w:firstLine="30"/>
              <w:jc w:val="both"/>
            </w:pPr>
            <w:bookmarkStart w:id="4" w:name="n49"/>
            <w:bookmarkEnd w:id="4"/>
            <w:r w:rsidRPr="00825C2D">
              <w:t>1) зберігати в своїй обліковій та/або інформаційній системі інформацію про розраховані відповідно до </w:t>
            </w:r>
            <w:r w:rsidRPr="00825C2D">
              <w:rPr>
                <w:rFonts w:eastAsiaTheme="minorEastAsia"/>
              </w:rPr>
              <w:t>пункту 9</w:t>
            </w:r>
            <w:r w:rsidRPr="00825C2D">
              <w:t> розділу I цього Положення співвідношення активів та мінімального статутного капіталу, пруденційні нормативи за період не менше ніж три роки;</w:t>
            </w:r>
          </w:p>
          <w:p w14:paraId="7F236663" w14:textId="77777777" w:rsidR="00535848" w:rsidRPr="00825C2D" w:rsidRDefault="00535848" w:rsidP="00390303">
            <w:pPr>
              <w:pStyle w:val="rvps2"/>
              <w:shd w:val="clear" w:color="auto" w:fill="FFFFFF"/>
              <w:spacing w:before="0" w:beforeAutospacing="0" w:after="150" w:afterAutospacing="0"/>
              <w:ind w:firstLine="30"/>
              <w:jc w:val="both"/>
            </w:pPr>
            <w:bookmarkStart w:id="5" w:name="n50"/>
            <w:bookmarkEnd w:id="5"/>
            <w:r w:rsidRPr="00825C2D">
              <w:lastRenderedPageBreak/>
              <w:t>2) не пізніше наступного робочого дня після дня, у якому небанківський гарант не виконав пруденційної вимоги, письмово повідомити Національний банк про її невиконання, а також оприлюднити на власному вебсайті інформацію про невиконання пруденційної вимоги;</w:t>
            </w:r>
          </w:p>
          <w:p w14:paraId="0C1BDACE" w14:textId="77777777" w:rsidR="00535848" w:rsidRPr="00825C2D" w:rsidRDefault="00535848" w:rsidP="00390303">
            <w:pPr>
              <w:pStyle w:val="rvps2"/>
              <w:shd w:val="clear" w:color="auto" w:fill="FFFFFF"/>
              <w:spacing w:before="0" w:beforeAutospacing="0" w:after="150" w:afterAutospacing="0"/>
              <w:ind w:firstLine="30"/>
              <w:jc w:val="both"/>
              <w:rPr>
                <w:strike/>
              </w:rPr>
            </w:pPr>
            <w:bookmarkStart w:id="6" w:name="n51"/>
            <w:bookmarkEnd w:id="6"/>
            <w:r w:rsidRPr="00825C2D">
              <w:rPr>
                <w:strike/>
              </w:rPr>
              <w:t>3) мати затверджений уповноваженим на те органом управління небанківського гаранта внутрішній документ з питань управління ризиками, які притаманні діяльності з надання гарантій та контргарантій, а також застосовувати ефективні процедури своєчасного виявлення, оцінки, моніторингу, контролю та управління зазначеними ризиками.</w:t>
            </w:r>
          </w:p>
        </w:tc>
        <w:tc>
          <w:tcPr>
            <w:tcW w:w="6929" w:type="dxa"/>
          </w:tcPr>
          <w:p w14:paraId="23A5C79C" w14:textId="77777777" w:rsidR="00535848" w:rsidRPr="00825C2D" w:rsidRDefault="00535848" w:rsidP="00390303">
            <w:pPr>
              <w:pStyle w:val="rvps2"/>
              <w:shd w:val="clear" w:color="auto" w:fill="FFFFFF"/>
              <w:spacing w:before="0" w:beforeAutospacing="0" w:after="150" w:afterAutospacing="0"/>
              <w:ind w:firstLine="30"/>
              <w:jc w:val="both"/>
            </w:pPr>
            <w:r w:rsidRPr="00825C2D">
              <w:lastRenderedPageBreak/>
              <w:t>9. Небанківський гарант зобов’язаний щодня станом на будь-яку дату протягом усього строку дії ліцензії розраховувати на підставі даних бухгалтерського обліку, облікової системи небанківського гаранта:</w:t>
            </w:r>
          </w:p>
          <w:p w14:paraId="29E77D0C" w14:textId="77777777" w:rsidR="00535848" w:rsidRPr="00825C2D" w:rsidRDefault="00535848" w:rsidP="00390303">
            <w:pPr>
              <w:pStyle w:val="rvps2"/>
              <w:shd w:val="clear" w:color="auto" w:fill="FFFFFF"/>
              <w:spacing w:before="0" w:beforeAutospacing="0" w:after="150" w:afterAutospacing="0"/>
              <w:ind w:firstLine="30"/>
              <w:jc w:val="both"/>
            </w:pPr>
            <w:r w:rsidRPr="00825C2D">
              <w:t>1) співвідношення активів, що зазначені в </w:t>
            </w:r>
            <w:r w:rsidRPr="00825C2D">
              <w:rPr>
                <w:rFonts w:eastAsiaTheme="minorEastAsia"/>
              </w:rPr>
              <w:t>підпункті 1</w:t>
            </w:r>
            <w:r w:rsidRPr="00825C2D">
              <w:t> пункту 8 розділу I цього Положення, та мінімального статутного капіталу небанківського гаранта;</w:t>
            </w:r>
          </w:p>
          <w:p w14:paraId="30B4F2E0" w14:textId="77777777" w:rsidR="00535848" w:rsidRPr="00825C2D" w:rsidRDefault="00535848" w:rsidP="00390303">
            <w:pPr>
              <w:pStyle w:val="rvps2"/>
              <w:shd w:val="clear" w:color="auto" w:fill="FFFFFF"/>
              <w:spacing w:before="0" w:beforeAutospacing="0" w:after="150" w:afterAutospacing="0"/>
              <w:ind w:firstLine="30"/>
              <w:jc w:val="both"/>
            </w:pPr>
            <w:r w:rsidRPr="00825C2D">
              <w:t>2) пруденційні нормативи, передбачені цим Положенням.</w:t>
            </w:r>
          </w:p>
          <w:p w14:paraId="28D65A16" w14:textId="77777777" w:rsidR="00535848" w:rsidRPr="00825C2D" w:rsidRDefault="00535848" w:rsidP="00390303">
            <w:pPr>
              <w:pStyle w:val="rvps2"/>
              <w:shd w:val="clear" w:color="auto" w:fill="FFFFFF"/>
              <w:spacing w:before="0" w:beforeAutospacing="0" w:after="150" w:afterAutospacing="0"/>
              <w:ind w:firstLine="30"/>
              <w:jc w:val="both"/>
            </w:pPr>
            <w:r w:rsidRPr="00825C2D">
              <w:t>10. Небанківський гарант зобов’язаний:</w:t>
            </w:r>
          </w:p>
          <w:p w14:paraId="424AC83F" w14:textId="77777777" w:rsidR="00535848" w:rsidRPr="00825C2D" w:rsidRDefault="00535848" w:rsidP="00390303">
            <w:pPr>
              <w:pStyle w:val="rvps2"/>
              <w:shd w:val="clear" w:color="auto" w:fill="FFFFFF"/>
              <w:spacing w:before="0" w:beforeAutospacing="0" w:after="150" w:afterAutospacing="0"/>
              <w:ind w:firstLine="30"/>
              <w:jc w:val="both"/>
            </w:pPr>
            <w:r w:rsidRPr="00825C2D">
              <w:t>1) зберігати в своїй обліковій та/або інформаційній системі інформацію про розраховані відповідно до </w:t>
            </w:r>
            <w:r w:rsidRPr="00825C2D">
              <w:rPr>
                <w:rFonts w:eastAsiaTheme="minorEastAsia"/>
              </w:rPr>
              <w:t>пункту 9</w:t>
            </w:r>
            <w:r w:rsidRPr="00825C2D">
              <w:t> розділу I цього Положення співвідношення активів та мінімального статутного капіталу, пруденційні нормативи за період не менше ніж три роки;</w:t>
            </w:r>
          </w:p>
          <w:p w14:paraId="49F0F2F3" w14:textId="77777777" w:rsidR="00535848" w:rsidRPr="00825C2D" w:rsidRDefault="00535848" w:rsidP="00390303">
            <w:pPr>
              <w:pStyle w:val="rvps2"/>
              <w:shd w:val="clear" w:color="auto" w:fill="FFFFFF"/>
              <w:spacing w:before="0" w:beforeAutospacing="0" w:after="150" w:afterAutospacing="0"/>
              <w:ind w:firstLine="30"/>
              <w:jc w:val="both"/>
            </w:pPr>
            <w:r w:rsidRPr="00825C2D">
              <w:lastRenderedPageBreak/>
              <w:t>2) не пізніше наступного робочого дня після дня, у якому небанківський гарант не виконав пруденційної вимоги, письмово повідомити Національний банк про її невиконання, а також оприлюднити на власному вебсайті інформацію про невиконання пруденційної вимоги;</w:t>
            </w:r>
          </w:p>
          <w:p w14:paraId="3BA53ADB" w14:textId="77777777" w:rsidR="00535848" w:rsidRPr="00825C2D" w:rsidRDefault="00535848" w:rsidP="00390303">
            <w:pPr>
              <w:ind w:firstLine="30"/>
              <w:rPr>
                <w:b/>
                <w:sz w:val="24"/>
                <w:szCs w:val="24"/>
                <w:shd w:val="clear" w:color="auto" w:fill="FFFFFF"/>
              </w:rPr>
            </w:pPr>
          </w:p>
        </w:tc>
      </w:tr>
      <w:tr w:rsidR="00535848" w:rsidRPr="00825C2D" w14:paraId="6D721CDF" w14:textId="77777777" w:rsidTr="00535848">
        <w:trPr>
          <w:trHeight w:val="20"/>
        </w:trPr>
        <w:tc>
          <w:tcPr>
            <w:tcW w:w="704" w:type="dxa"/>
          </w:tcPr>
          <w:p w14:paraId="56B639D7" w14:textId="77777777" w:rsidR="00535848" w:rsidRPr="00825C2D" w:rsidRDefault="00535848" w:rsidP="00535848">
            <w:pPr>
              <w:pStyle w:val="a4"/>
              <w:widowControl w:val="0"/>
              <w:numPr>
                <w:ilvl w:val="0"/>
                <w:numId w:val="6"/>
              </w:numPr>
              <w:tabs>
                <w:tab w:val="left" w:pos="311"/>
              </w:tabs>
              <w:spacing w:before="0" w:beforeAutospacing="0" w:after="0" w:afterAutospacing="0"/>
              <w:ind w:left="0" w:firstLine="0"/>
              <w:jc w:val="center"/>
            </w:pPr>
          </w:p>
        </w:tc>
        <w:tc>
          <w:tcPr>
            <w:tcW w:w="6821" w:type="dxa"/>
            <w:gridSpan w:val="2"/>
          </w:tcPr>
          <w:p w14:paraId="27D5D4A8" w14:textId="77777777" w:rsidR="00535848" w:rsidRPr="00825C2D" w:rsidRDefault="00535848" w:rsidP="00535848">
            <w:pPr>
              <w:jc w:val="left"/>
              <w:rPr>
                <w:b/>
                <w:sz w:val="24"/>
                <w:szCs w:val="24"/>
                <w:shd w:val="clear" w:color="auto" w:fill="FFFFFF"/>
              </w:rPr>
            </w:pPr>
            <w:r w:rsidRPr="00825C2D">
              <w:rPr>
                <w:sz w:val="24"/>
                <w:szCs w:val="24"/>
              </w:rPr>
              <w:t>II. Регулятивний капітал</w:t>
            </w:r>
          </w:p>
        </w:tc>
        <w:tc>
          <w:tcPr>
            <w:tcW w:w="6929" w:type="dxa"/>
          </w:tcPr>
          <w:p w14:paraId="514C0BEB" w14:textId="77777777" w:rsidR="00535848" w:rsidRPr="00825C2D" w:rsidRDefault="00535848" w:rsidP="00535848">
            <w:pPr>
              <w:jc w:val="center"/>
              <w:rPr>
                <w:b/>
                <w:sz w:val="24"/>
                <w:szCs w:val="24"/>
                <w:shd w:val="clear" w:color="auto" w:fill="FFFFFF"/>
              </w:rPr>
            </w:pPr>
          </w:p>
        </w:tc>
      </w:tr>
      <w:tr w:rsidR="00535848" w:rsidRPr="00825C2D" w14:paraId="70B7A016" w14:textId="77777777" w:rsidTr="00535848">
        <w:trPr>
          <w:trHeight w:val="20"/>
        </w:trPr>
        <w:tc>
          <w:tcPr>
            <w:tcW w:w="704" w:type="dxa"/>
          </w:tcPr>
          <w:p w14:paraId="4DCA836F" w14:textId="77777777" w:rsidR="00535848" w:rsidRPr="00825C2D" w:rsidRDefault="00535848" w:rsidP="00535848">
            <w:pPr>
              <w:pStyle w:val="a4"/>
              <w:widowControl w:val="0"/>
              <w:numPr>
                <w:ilvl w:val="0"/>
                <w:numId w:val="6"/>
              </w:numPr>
              <w:tabs>
                <w:tab w:val="left" w:pos="311"/>
              </w:tabs>
              <w:spacing w:before="0" w:beforeAutospacing="0" w:after="0" w:afterAutospacing="0"/>
              <w:ind w:left="0" w:firstLine="0"/>
              <w:jc w:val="center"/>
            </w:pPr>
          </w:p>
        </w:tc>
        <w:tc>
          <w:tcPr>
            <w:tcW w:w="6821" w:type="dxa"/>
            <w:gridSpan w:val="2"/>
          </w:tcPr>
          <w:p w14:paraId="6D210CDE" w14:textId="77777777" w:rsidR="00535848" w:rsidRPr="00825C2D" w:rsidRDefault="00535848" w:rsidP="00390303">
            <w:pPr>
              <w:pStyle w:val="rvps2"/>
              <w:shd w:val="clear" w:color="auto" w:fill="FFFFFF"/>
              <w:spacing w:before="0" w:beforeAutospacing="0" w:after="150" w:afterAutospacing="0"/>
              <w:jc w:val="both"/>
            </w:pPr>
            <w:r w:rsidRPr="00825C2D">
              <w:t>12. Небанківський гарант розраховує РК за такою формулою:</w:t>
            </w:r>
          </w:p>
          <w:p w14:paraId="27F78ECB" w14:textId="77777777" w:rsidR="00535848" w:rsidRPr="00825C2D" w:rsidRDefault="00535848" w:rsidP="00390303">
            <w:pPr>
              <w:pStyle w:val="rvps2"/>
              <w:shd w:val="clear" w:color="auto" w:fill="FFFFFF"/>
              <w:spacing w:before="0" w:beforeAutospacing="0" w:after="150" w:afterAutospacing="0"/>
              <w:jc w:val="both"/>
            </w:pPr>
            <w:bookmarkStart w:id="7" w:name="n55"/>
            <w:bookmarkEnd w:id="7"/>
            <w:r w:rsidRPr="00825C2D">
              <w:t>РК = ВК - ДФІ - ІФІ - Векс - НА + СБ,</w:t>
            </w:r>
          </w:p>
          <w:p w14:paraId="5F2DDC2F" w14:textId="77777777" w:rsidR="00535848" w:rsidRPr="00825C2D" w:rsidRDefault="00535848" w:rsidP="00390303">
            <w:pPr>
              <w:pStyle w:val="rvps14"/>
              <w:shd w:val="clear" w:color="auto" w:fill="FFFFFF"/>
              <w:spacing w:before="150" w:beforeAutospacing="0" w:after="150" w:afterAutospacing="0"/>
              <w:jc w:val="both"/>
            </w:pPr>
            <w:bookmarkStart w:id="8" w:name="n56"/>
            <w:bookmarkEnd w:id="8"/>
            <w:r w:rsidRPr="00825C2D">
              <w:t>де    ВК - власний капітал небанківського гаранта;</w:t>
            </w:r>
          </w:p>
          <w:p w14:paraId="7D64DA20" w14:textId="77777777" w:rsidR="00535848" w:rsidRPr="00825C2D" w:rsidRDefault="00535848" w:rsidP="00390303">
            <w:pPr>
              <w:pStyle w:val="rvps2"/>
              <w:shd w:val="clear" w:color="auto" w:fill="FFFFFF"/>
              <w:spacing w:before="0" w:beforeAutospacing="0" w:after="150" w:afterAutospacing="0"/>
              <w:jc w:val="both"/>
            </w:pPr>
            <w:bookmarkStart w:id="9" w:name="n57"/>
            <w:bookmarkEnd w:id="9"/>
            <w:r w:rsidRPr="00825C2D">
              <w:t>ДФІ - довгострокові фінансові інвестиції, які обліковуються за методом участі в капіталі інших підприємств;</w:t>
            </w:r>
          </w:p>
          <w:p w14:paraId="211102C6" w14:textId="77777777" w:rsidR="00535848" w:rsidRPr="00825C2D" w:rsidRDefault="00535848" w:rsidP="00390303">
            <w:pPr>
              <w:pStyle w:val="rvps2"/>
              <w:shd w:val="clear" w:color="auto" w:fill="FFFFFF"/>
              <w:spacing w:before="0" w:beforeAutospacing="0" w:after="150" w:afterAutospacing="0"/>
              <w:jc w:val="both"/>
            </w:pPr>
            <w:bookmarkStart w:id="10" w:name="n58"/>
            <w:bookmarkEnd w:id="10"/>
            <w:r w:rsidRPr="00825C2D">
              <w:t>ІФІ - інші фінансові інвестиції;</w:t>
            </w:r>
          </w:p>
          <w:p w14:paraId="24A4373B" w14:textId="77777777" w:rsidR="00535848" w:rsidRPr="00825C2D" w:rsidRDefault="00535848" w:rsidP="00390303">
            <w:pPr>
              <w:pStyle w:val="rvps2"/>
              <w:shd w:val="clear" w:color="auto" w:fill="FFFFFF"/>
              <w:spacing w:before="0" w:beforeAutospacing="0" w:after="150" w:afterAutospacing="0"/>
              <w:jc w:val="both"/>
            </w:pPr>
            <w:bookmarkStart w:id="11" w:name="n59"/>
            <w:bookmarkEnd w:id="11"/>
            <w:r w:rsidRPr="00825C2D">
              <w:t>Векс - векселі одержані;</w:t>
            </w:r>
          </w:p>
          <w:p w14:paraId="4AE788FB" w14:textId="77777777" w:rsidR="00535848" w:rsidRPr="00825C2D" w:rsidRDefault="00535848" w:rsidP="00390303">
            <w:pPr>
              <w:pStyle w:val="rvps2"/>
              <w:shd w:val="clear" w:color="auto" w:fill="FFFFFF"/>
              <w:spacing w:before="0" w:beforeAutospacing="0" w:after="150" w:afterAutospacing="0"/>
              <w:jc w:val="both"/>
            </w:pPr>
            <w:bookmarkStart w:id="12" w:name="n60"/>
            <w:bookmarkEnd w:id="12"/>
            <w:r w:rsidRPr="00825C2D">
              <w:t>НА - залишкова вартість нематеріальних активів;</w:t>
            </w:r>
          </w:p>
          <w:p w14:paraId="2F7EE804" w14:textId="77777777" w:rsidR="00535848" w:rsidRPr="00825C2D" w:rsidRDefault="00535848" w:rsidP="00390303">
            <w:pPr>
              <w:pStyle w:val="rvps2"/>
              <w:shd w:val="clear" w:color="auto" w:fill="FFFFFF"/>
              <w:spacing w:before="0" w:beforeAutospacing="0" w:after="150" w:afterAutospacing="0"/>
              <w:jc w:val="both"/>
            </w:pPr>
            <w:bookmarkStart w:id="13" w:name="n61"/>
            <w:bookmarkEnd w:id="13"/>
            <w:r w:rsidRPr="00825C2D">
              <w:t xml:space="preserve">СБ - субординований борг, який небанківський гарант </w:t>
            </w:r>
            <w:r w:rsidRPr="00825C2D">
              <w:rPr>
                <w:b/>
              </w:rPr>
              <w:t>має право включити</w:t>
            </w:r>
            <w:r w:rsidRPr="00825C2D">
              <w:t xml:space="preserve"> </w:t>
            </w:r>
            <w:r w:rsidRPr="00825C2D">
              <w:rPr>
                <w:b/>
              </w:rPr>
              <w:t xml:space="preserve">до </w:t>
            </w:r>
            <w:r w:rsidRPr="00825C2D">
              <w:t>РК у випадку, визначеному в пункті 13 розділу II цього Положення.</w:t>
            </w:r>
          </w:p>
        </w:tc>
        <w:tc>
          <w:tcPr>
            <w:tcW w:w="6929" w:type="dxa"/>
          </w:tcPr>
          <w:p w14:paraId="3297AB55" w14:textId="77777777" w:rsidR="00535848" w:rsidRPr="00825C2D" w:rsidRDefault="00535848" w:rsidP="00390303">
            <w:pPr>
              <w:pStyle w:val="rvps2"/>
              <w:shd w:val="clear" w:color="auto" w:fill="FFFFFF"/>
              <w:spacing w:before="0" w:beforeAutospacing="0" w:after="150" w:afterAutospacing="0"/>
              <w:jc w:val="both"/>
            </w:pPr>
            <w:r w:rsidRPr="00825C2D">
              <w:t>12. Небанківський гарант розраховує РК за такою формулою:</w:t>
            </w:r>
          </w:p>
          <w:p w14:paraId="7F94B976" w14:textId="77777777" w:rsidR="00535848" w:rsidRPr="00825C2D" w:rsidRDefault="00535848" w:rsidP="00390303">
            <w:pPr>
              <w:pStyle w:val="rvps2"/>
              <w:shd w:val="clear" w:color="auto" w:fill="FFFFFF"/>
              <w:spacing w:before="0" w:beforeAutospacing="0" w:after="150" w:afterAutospacing="0"/>
              <w:jc w:val="both"/>
            </w:pPr>
            <w:r w:rsidRPr="00825C2D">
              <w:t>РК = ВК - ДФІ - ІФІ - Векс - НА + СБ,</w:t>
            </w:r>
          </w:p>
          <w:p w14:paraId="079BDF0E" w14:textId="77777777" w:rsidR="00535848" w:rsidRPr="00825C2D" w:rsidRDefault="00535848" w:rsidP="00390303">
            <w:pPr>
              <w:pStyle w:val="rvps14"/>
              <w:shd w:val="clear" w:color="auto" w:fill="FFFFFF"/>
              <w:spacing w:before="150" w:beforeAutospacing="0" w:after="150" w:afterAutospacing="0"/>
            </w:pPr>
            <w:r w:rsidRPr="00825C2D">
              <w:t>де    ВК - власний капітал небанківського гаранта;</w:t>
            </w:r>
          </w:p>
          <w:p w14:paraId="01C8C0E1" w14:textId="77777777" w:rsidR="00535848" w:rsidRPr="00825C2D" w:rsidRDefault="00535848" w:rsidP="00390303">
            <w:pPr>
              <w:pStyle w:val="rvps2"/>
              <w:shd w:val="clear" w:color="auto" w:fill="FFFFFF"/>
              <w:spacing w:before="0" w:beforeAutospacing="0" w:after="150" w:afterAutospacing="0"/>
              <w:jc w:val="both"/>
            </w:pPr>
            <w:r w:rsidRPr="00825C2D">
              <w:t>ДФІ - довгострокові фінансові інвестиції, які обліковуються за методом участі в капіталі інших підприємств;</w:t>
            </w:r>
          </w:p>
          <w:p w14:paraId="0D9C3256" w14:textId="77777777" w:rsidR="00535848" w:rsidRPr="00825C2D" w:rsidRDefault="00535848" w:rsidP="00390303">
            <w:pPr>
              <w:pStyle w:val="rvps2"/>
              <w:shd w:val="clear" w:color="auto" w:fill="FFFFFF"/>
              <w:spacing w:before="0" w:beforeAutospacing="0" w:after="150" w:afterAutospacing="0"/>
              <w:jc w:val="both"/>
            </w:pPr>
            <w:r w:rsidRPr="00825C2D">
              <w:t>ІФІ - інші фінансові інвестиції;</w:t>
            </w:r>
          </w:p>
          <w:p w14:paraId="3C43C25F" w14:textId="77777777" w:rsidR="00535848" w:rsidRPr="00825C2D" w:rsidRDefault="00535848" w:rsidP="00390303">
            <w:pPr>
              <w:pStyle w:val="rvps2"/>
              <w:shd w:val="clear" w:color="auto" w:fill="FFFFFF"/>
              <w:spacing w:before="0" w:beforeAutospacing="0" w:after="150" w:afterAutospacing="0"/>
              <w:jc w:val="both"/>
            </w:pPr>
            <w:r w:rsidRPr="00825C2D">
              <w:t>Векс - векселі одержані;</w:t>
            </w:r>
          </w:p>
          <w:p w14:paraId="0E8478AD" w14:textId="77777777" w:rsidR="00535848" w:rsidRPr="00825C2D" w:rsidRDefault="00535848" w:rsidP="00390303">
            <w:pPr>
              <w:pStyle w:val="rvps2"/>
              <w:shd w:val="clear" w:color="auto" w:fill="FFFFFF"/>
              <w:spacing w:before="0" w:beforeAutospacing="0" w:after="150" w:afterAutospacing="0"/>
              <w:jc w:val="both"/>
            </w:pPr>
            <w:r w:rsidRPr="00825C2D">
              <w:t>НА - залишкова вартість нематеріальних активів;</w:t>
            </w:r>
          </w:p>
          <w:p w14:paraId="0B16473D" w14:textId="77777777" w:rsidR="00535848" w:rsidRPr="00825C2D" w:rsidRDefault="00535848" w:rsidP="00390303">
            <w:pPr>
              <w:pStyle w:val="rvps2"/>
              <w:shd w:val="clear" w:color="auto" w:fill="FFFFFF"/>
              <w:spacing w:before="0" w:beforeAutospacing="0" w:after="150" w:afterAutospacing="0"/>
              <w:jc w:val="both"/>
            </w:pPr>
            <w:r w:rsidRPr="00825C2D">
              <w:t xml:space="preserve">СБ - субординований борг, який небанківський гарант </w:t>
            </w:r>
            <w:r w:rsidRPr="00825C2D">
              <w:rPr>
                <w:b/>
              </w:rPr>
              <w:t>враховує до складу</w:t>
            </w:r>
            <w:r w:rsidRPr="00825C2D">
              <w:t xml:space="preserve"> РК у випадку, визначеному в пункті 13 розділу II цього Положення.</w:t>
            </w:r>
          </w:p>
        </w:tc>
      </w:tr>
      <w:tr w:rsidR="00535848" w:rsidRPr="00825C2D" w14:paraId="1533103B" w14:textId="77777777" w:rsidTr="00535848">
        <w:trPr>
          <w:trHeight w:val="20"/>
        </w:trPr>
        <w:tc>
          <w:tcPr>
            <w:tcW w:w="704" w:type="dxa"/>
          </w:tcPr>
          <w:p w14:paraId="4F855D48" w14:textId="77777777" w:rsidR="00535848" w:rsidRPr="00825C2D" w:rsidRDefault="00535848" w:rsidP="00535848">
            <w:pPr>
              <w:pStyle w:val="a4"/>
              <w:widowControl w:val="0"/>
              <w:numPr>
                <w:ilvl w:val="0"/>
                <w:numId w:val="6"/>
              </w:numPr>
              <w:tabs>
                <w:tab w:val="left" w:pos="311"/>
              </w:tabs>
              <w:spacing w:before="0" w:beforeAutospacing="0" w:after="0" w:afterAutospacing="0"/>
              <w:ind w:left="0" w:firstLine="0"/>
              <w:jc w:val="center"/>
            </w:pPr>
          </w:p>
        </w:tc>
        <w:tc>
          <w:tcPr>
            <w:tcW w:w="6821" w:type="dxa"/>
            <w:gridSpan w:val="2"/>
          </w:tcPr>
          <w:p w14:paraId="4A588592" w14:textId="77777777" w:rsidR="00535848" w:rsidRPr="00825C2D" w:rsidRDefault="00390303" w:rsidP="00535848">
            <w:pPr>
              <w:rPr>
                <w:b/>
                <w:sz w:val="24"/>
                <w:szCs w:val="24"/>
                <w:shd w:val="clear" w:color="auto" w:fill="FFFFFF"/>
              </w:rPr>
            </w:pPr>
            <w:r w:rsidRPr="00825C2D">
              <w:rPr>
                <w:sz w:val="24"/>
                <w:szCs w:val="24"/>
                <w:shd w:val="clear" w:color="auto" w:fill="FFFFFF"/>
              </w:rPr>
              <w:t xml:space="preserve">13. </w:t>
            </w:r>
            <w:r w:rsidR="00535848" w:rsidRPr="00825C2D">
              <w:rPr>
                <w:sz w:val="24"/>
                <w:szCs w:val="24"/>
                <w:shd w:val="clear" w:color="auto" w:fill="FFFFFF"/>
              </w:rPr>
              <w:t xml:space="preserve">Небанківський гарант </w:t>
            </w:r>
            <w:r w:rsidR="00535848" w:rsidRPr="00825C2D">
              <w:rPr>
                <w:b/>
                <w:sz w:val="24"/>
                <w:szCs w:val="24"/>
                <w:shd w:val="clear" w:color="auto" w:fill="FFFFFF"/>
              </w:rPr>
              <w:t>має право включити субординований борг до РК (збільшити РК на суму субординованого боргу)</w:t>
            </w:r>
            <w:r w:rsidR="00535848" w:rsidRPr="00825C2D">
              <w:rPr>
                <w:sz w:val="24"/>
                <w:szCs w:val="24"/>
                <w:shd w:val="clear" w:color="auto" w:fill="FFFFFF"/>
              </w:rPr>
              <w:t xml:space="preserve"> після отримання дозволу Національного банку на включення залучених коштів на умовах субординованого боргу до регулятивного капіталу/дозволу Національного банку на включення залучених коштів на умовах субординованого боргу до регулятивного капіталу у зв’язку з заміною інвестора (далі - дозвіл), який небанківський гарант одержує в порядку, встановленому нормативно-правовим актом Національного банку з питань авторизації надавачів фінансових послуг.</w:t>
            </w:r>
          </w:p>
        </w:tc>
        <w:tc>
          <w:tcPr>
            <w:tcW w:w="6929" w:type="dxa"/>
          </w:tcPr>
          <w:p w14:paraId="410919E4" w14:textId="77777777" w:rsidR="00535848" w:rsidRPr="00825C2D" w:rsidRDefault="00390303" w:rsidP="00390303">
            <w:pPr>
              <w:rPr>
                <w:b/>
                <w:sz w:val="24"/>
                <w:szCs w:val="24"/>
                <w:shd w:val="clear" w:color="auto" w:fill="FFFFFF"/>
              </w:rPr>
            </w:pPr>
            <w:r w:rsidRPr="00825C2D">
              <w:rPr>
                <w:sz w:val="24"/>
                <w:szCs w:val="24"/>
                <w:shd w:val="clear" w:color="auto" w:fill="FFFFFF"/>
              </w:rPr>
              <w:t xml:space="preserve">13. Небанківський гарант </w:t>
            </w:r>
            <w:r w:rsidRPr="00825C2D">
              <w:rPr>
                <w:b/>
                <w:sz w:val="24"/>
                <w:szCs w:val="24"/>
                <w:shd w:val="clear" w:color="auto" w:fill="FFFFFF"/>
              </w:rPr>
              <w:t>враховує субординований борг до складу РК (збільшує РК на суму субординованого боргу)</w:t>
            </w:r>
            <w:r w:rsidRPr="00825C2D">
              <w:rPr>
                <w:sz w:val="24"/>
                <w:szCs w:val="24"/>
                <w:shd w:val="clear" w:color="auto" w:fill="FFFFFF"/>
              </w:rPr>
              <w:t xml:space="preserve"> після отримання дозволу Національного банку на включення залучених коштів на умовах субординованого боргу до регулятивного капіталу/дозволу Національного банку на включення залучених коштів на умовах субординованого боргу до регулятивного капіталу у зв’язку з заміною інвестора (далі - дозвіл), який небанківський гарант одержує в порядку, встановленому нормативно-правовим актом Національного банку з питань авторизації надавачів фінансових послуг.</w:t>
            </w:r>
          </w:p>
        </w:tc>
      </w:tr>
      <w:tr w:rsidR="00825C2D" w:rsidRPr="00825C2D" w14:paraId="11D1C52F" w14:textId="77777777" w:rsidTr="00535848">
        <w:trPr>
          <w:trHeight w:val="20"/>
        </w:trPr>
        <w:tc>
          <w:tcPr>
            <w:tcW w:w="704" w:type="dxa"/>
          </w:tcPr>
          <w:p w14:paraId="63025716" w14:textId="77777777" w:rsidR="00535848" w:rsidRPr="00825C2D" w:rsidRDefault="00535848" w:rsidP="00535848">
            <w:pPr>
              <w:pStyle w:val="a4"/>
              <w:widowControl w:val="0"/>
              <w:numPr>
                <w:ilvl w:val="0"/>
                <w:numId w:val="6"/>
              </w:numPr>
              <w:tabs>
                <w:tab w:val="left" w:pos="311"/>
              </w:tabs>
              <w:spacing w:before="0" w:beforeAutospacing="0" w:after="0" w:afterAutospacing="0"/>
              <w:ind w:left="0" w:firstLine="0"/>
              <w:jc w:val="center"/>
            </w:pPr>
          </w:p>
        </w:tc>
        <w:tc>
          <w:tcPr>
            <w:tcW w:w="6821" w:type="dxa"/>
            <w:gridSpan w:val="2"/>
          </w:tcPr>
          <w:p w14:paraId="6BD3D4E9" w14:textId="77777777" w:rsidR="00390303" w:rsidRPr="00825C2D" w:rsidRDefault="00390303" w:rsidP="00390303">
            <w:pPr>
              <w:pStyle w:val="rvps2"/>
              <w:shd w:val="clear" w:color="auto" w:fill="FFFFFF"/>
              <w:spacing w:before="0" w:beforeAutospacing="0" w:after="150" w:afterAutospacing="0"/>
              <w:jc w:val="both"/>
            </w:pPr>
            <w:r w:rsidRPr="00825C2D">
              <w:t>14. Небанківський гарант, який відповідно до вимог </w:t>
            </w:r>
            <w:r w:rsidRPr="00825C2D">
              <w:rPr>
                <w:rFonts w:eastAsiaTheme="minorEastAsia"/>
              </w:rPr>
              <w:t>пункту 13</w:t>
            </w:r>
            <w:r w:rsidRPr="00825C2D">
              <w:t xml:space="preserve"> розділу II цього Положення </w:t>
            </w:r>
            <w:r w:rsidRPr="00825C2D">
              <w:rPr>
                <w:b/>
              </w:rPr>
              <w:t>включив субординований борг до РК, зменшує суму субординованого боргу, уключеного до РК</w:t>
            </w:r>
            <w:r w:rsidRPr="00825C2D">
              <w:t>:</w:t>
            </w:r>
          </w:p>
          <w:p w14:paraId="389BDA64" w14:textId="77777777" w:rsidR="00390303" w:rsidRPr="00825C2D" w:rsidRDefault="00390303" w:rsidP="00390303">
            <w:pPr>
              <w:pStyle w:val="rvps2"/>
              <w:shd w:val="clear" w:color="auto" w:fill="FFFFFF"/>
              <w:spacing w:before="0" w:beforeAutospacing="0" w:after="150" w:afterAutospacing="0"/>
              <w:ind w:firstLine="450"/>
              <w:jc w:val="both"/>
            </w:pPr>
            <w:bookmarkStart w:id="14" w:name="n64"/>
            <w:bookmarkEnd w:id="14"/>
            <w:r w:rsidRPr="00825C2D">
              <w:t>1) на суму субординованого боргу, яка була достроково погашена небанківським гарантом на дату розрахунку РК;</w:t>
            </w:r>
          </w:p>
          <w:p w14:paraId="4E160FF6" w14:textId="77777777" w:rsidR="00535848" w:rsidRPr="00825C2D" w:rsidRDefault="00390303" w:rsidP="00825C2D">
            <w:pPr>
              <w:pStyle w:val="rvps2"/>
              <w:shd w:val="clear" w:color="auto" w:fill="FFFFFF"/>
              <w:spacing w:before="0" w:beforeAutospacing="0" w:after="150" w:afterAutospacing="0"/>
              <w:ind w:firstLine="450"/>
              <w:jc w:val="both"/>
            </w:pPr>
            <w:bookmarkStart w:id="15" w:name="n65"/>
            <w:bookmarkEnd w:id="15"/>
            <w:r w:rsidRPr="00825C2D">
              <w:t>2) щорічно на 20 відсотків первинного або фактичного (у разі дострокового погашення певної суми субординованого боргу) розміру субординованого боргу протягом п’яти останніх років дії угоди (договору) про залучення субординованого боргу за графіком, зазначеним у додатку до цього Положення.</w:t>
            </w:r>
          </w:p>
        </w:tc>
        <w:tc>
          <w:tcPr>
            <w:tcW w:w="6929" w:type="dxa"/>
          </w:tcPr>
          <w:p w14:paraId="3F6F1DD8" w14:textId="77777777" w:rsidR="00390303" w:rsidRPr="00825C2D" w:rsidRDefault="00390303" w:rsidP="00390303">
            <w:pPr>
              <w:pStyle w:val="rvps2"/>
              <w:shd w:val="clear" w:color="auto" w:fill="FFFFFF"/>
              <w:spacing w:before="0" w:beforeAutospacing="0" w:after="150" w:afterAutospacing="0"/>
              <w:jc w:val="both"/>
            </w:pPr>
            <w:r w:rsidRPr="00825C2D">
              <w:t>14. Небанківський гарант, який відповідно до вимог </w:t>
            </w:r>
            <w:r w:rsidRPr="00825C2D">
              <w:rPr>
                <w:rFonts w:eastAsiaTheme="minorEastAsia"/>
              </w:rPr>
              <w:t>пункту 13</w:t>
            </w:r>
            <w:r w:rsidRPr="00825C2D">
              <w:t xml:space="preserve"> розділу II цього Положення </w:t>
            </w:r>
            <w:r w:rsidRPr="00825C2D">
              <w:rPr>
                <w:b/>
              </w:rPr>
              <w:t>врахував субординований борг до складу РК, зменшує суму субординованого боргу, врахованого до складу РК</w:t>
            </w:r>
            <w:r w:rsidRPr="00825C2D">
              <w:t>:</w:t>
            </w:r>
          </w:p>
          <w:p w14:paraId="24D8BA44" w14:textId="77777777" w:rsidR="00390303" w:rsidRPr="00825C2D" w:rsidRDefault="00390303" w:rsidP="00390303">
            <w:pPr>
              <w:pStyle w:val="rvps2"/>
              <w:shd w:val="clear" w:color="auto" w:fill="FFFFFF"/>
              <w:spacing w:before="0" w:beforeAutospacing="0" w:after="150" w:afterAutospacing="0"/>
              <w:ind w:firstLine="450"/>
              <w:jc w:val="both"/>
            </w:pPr>
            <w:r w:rsidRPr="00825C2D">
              <w:t>1) на суму субординованого боргу, яка була достроково погашена небанківським гарантом на дату розрахунку РК;</w:t>
            </w:r>
          </w:p>
          <w:p w14:paraId="296E9188" w14:textId="77777777" w:rsidR="00535848" w:rsidRPr="00825C2D" w:rsidRDefault="00390303" w:rsidP="00825C2D">
            <w:pPr>
              <w:pStyle w:val="rvps2"/>
              <w:shd w:val="clear" w:color="auto" w:fill="FFFFFF"/>
              <w:spacing w:before="0" w:beforeAutospacing="0" w:after="150" w:afterAutospacing="0"/>
              <w:ind w:firstLine="450"/>
              <w:jc w:val="both"/>
            </w:pPr>
            <w:r w:rsidRPr="00825C2D">
              <w:t>2) щорічно на 20 відсотків первинного або фактичного (у разі дострокового погашення певної суми субординованого боргу) розміру субординованого боргу протягом п’яти останніх років дії угоди (договору) про залучення субординованого боргу за графіком, зазначеним у додатку до цього Положення.</w:t>
            </w:r>
          </w:p>
        </w:tc>
      </w:tr>
      <w:tr w:rsidR="00825C2D" w:rsidRPr="00825C2D" w14:paraId="6F622409" w14:textId="77777777" w:rsidTr="00535848">
        <w:trPr>
          <w:trHeight w:val="20"/>
        </w:trPr>
        <w:tc>
          <w:tcPr>
            <w:tcW w:w="704" w:type="dxa"/>
          </w:tcPr>
          <w:p w14:paraId="37864715" w14:textId="77777777" w:rsidR="00390303" w:rsidRPr="00825C2D" w:rsidRDefault="00390303" w:rsidP="00390303">
            <w:pPr>
              <w:pStyle w:val="a4"/>
              <w:widowControl w:val="0"/>
              <w:numPr>
                <w:ilvl w:val="0"/>
                <w:numId w:val="6"/>
              </w:numPr>
              <w:tabs>
                <w:tab w:val="left" w:pos="311"/>
              </w:tabs>
              <w:spacing w:before="0" w:beforeAutospacing="0" w:after="0" w:afterAutospacing="0"/>
              <w:ind w:left="0" w:firstLine="0"/>
              <w:jc w:val="center"/>
            </w:pPr>
          </w:p>
        </w:tc>
        <w:tc>
          <w:tcPr>
            <w:tcW w:w="6821" w:type="dxa"/>
            <w:gridSpan w:val="2"/>
          </w:tcPr>
          <w:tbl>
            <w:tblPr>
              <w:tblW w:w="5000" w:type="pct"/>
              <w:tblLayout w:type="fixed"/>
              <w:tblCellMar>
                <w:left w:w="0" w:type="dxa"/>
                <w:right w:w="0" w:type="dxa"/>
              </w:tblCellMar>
              <w:tblLook w:val="04A0" w:firstRow="1" w:lastRow="0" w:firstColumn="1" w:lastColumn="0" w:noHBand="0" w:noVBand="1"/>
            </w:tblPr>
            <w:tblGrid>
              <w:gridCol w:w="6605"/>
            </w:tblGrid>
            <w:tr w:rsidR="00825C2D" w:rsidRPr="00825C2D" w14:paraId="05225DF1" w14:textId="77777777" w:rsidTr="0032435A">
              <w:tc>
                <w:tcPr>
                  <w:tcW w:w="2000" w:type="pct"/>
                  <w:hideMark/>
                </w:tcPr>
                <w:p w14:paraId="3561D482" w14:textId="77777777" w:rsidR="00390303" w:rsidRPr="00825C2D" w:rsidRDefault="00390303" w:rsidP="00825C2D">
                  <w:pPr>
                    <w:spacing w:before="150" w:after="150"/>
                    <w:ind w:left="3011"/>
                    <w:rPr>
                      <w:sz w:val="24"/>
                      <w:szCs w:val="24"/>
                    </w:rPr>
                  </w:pPr>
                  <w:r w:rsidRPr="00825C2D">
                    <w:rPr>
                      <w:sz w:val="24"/>
                      <w:szCs w:val="24"/>
                    </w:rPr>
                    <w:t>Додаток</w:t>
                  </w:r>
                  <w:r w:rsidRPr="00825C2D">
                    <w:rPr>
                      <w:sz w:val="24"/>
                      <w:szCs w:val="24"/>
                    </w:rPr>
                    <w:br/>
                    <w:t>до Положення про регулювання</w:t>
                  </w:r>
                  <w:r w:rsidRPr="00825C2D">
                    <w:rPr>
                      <w:sz w:val="24"/>
                      <w:szCs w:val="24"/>
                    </w:rPr>
                    <w:br/>
                    <w:t xml:space="preserve">діяльності фінансових компаній, які мають право здійснювати </w:t>
                  </w:r>
                  <w:r w:rsidRPr="00825C2D">
                    <w:rPr>
                      <w:sz w:val="24"/>
                      <w:szCs w:val="24"/>
                    </w:rPr>
                    <w:lastRenderedPageBreak/>
                    <w:t>діяльність</w:t>
                  </w:r>
                  <w:r w:rsidR="00825C2D" w:rsidRPr="00825C2D">
                    <w:rPr>
                      <w:sz w:val="24"/>
                      <w:szCs w:val="24"/>
                    </w:rPr>
                    <w:t xml:space="preserve"> </w:t>
                  </w:r>
                  <w:r w:rsidRPr="00825C2D">
                    <w:rPr>
                      <w:sz w:val="24"/>
                      <w:szCs w:val="24"/>
                    </w:rPr>
                    <w:t>з</w:t>
                  </w:r>
                  <w:r w:rsidR="00825C2D" w:rsidRPr="00825C2D">
                    <w:rPr>
                      <w:sz w:val="24"/>
                      <w:szCs w:val="24"/>
                    </w:rPr>
                    <w:t xml:space="preserve"> </w:t>
                  </w:r>
                  <w:r w:rsidRPr="00825C2D">
                    <w:rPr>
                      <w:sz w:val="24"/>
                      <w:szCs w:val="24"/>
                    </w:rPr>
                    <w:t>надання гарантій</w:t>
                  </w:r>
                  <w:r w:rsidRPr="00825C2D">
                    <w:rPr>
                      <w:sz w:val="24"/>
                      <w:szCs w:val="24"/>
                    </w:rPr>
                    <w:br/>
                    <w:t>(підпункт 2 пункту 14 розділу II)</w:t>
                  </w:r>
                </w:p>
              </w:tc>
            </w:tr>
          </w:tbl>
          <w:p w14:paraId="127A8A72" w14:textId="77777777" w:rsidR="00390303" w:rsidRPr="00825C2D" w:rsidRDefault="00390303" w:rsidP="00390303">
            <w:pPr>
              <w:shd w:val="clear" w:color="auto" w:fill="FFFFFF"/>
              <w:spacing w:before="150" w:after="150"/>
              <w:ind w:left="450" w:right="450"/>
              <w:jc w:val="center"/>
              <w:rPr>
                <w:sz w:val="24"/>
                <w:szCs w:val="24"/>
              </w:rPr>
            </w:pPr>
            <w:bookmarkStart w:id="16" w:name="n105"/>
            <w:bookmarkEnd w:id="16"/>
            <w:r w:rsidRPr="00825C2D">
              <w:rPr>
                <w:bCs/>
                <w:sz w:val="24"/>
                <w:szCs w:val="24"/>
              </w:rPr>
              <w:lastRenderedPageBreak/>
              <w:t>Графік</w:t>
            </w:r>
            <w:r w:rsidRPr="00825C2D">
              <w:rPr>
                <w:sz w:val="24"/>
                <w:szCs w:val="24"/>
              </w:rPr>
              <w:br/>
            </w:r>
            <w:r w:rsidRPr="00825C2D">
              <w:rPr>
                <w:bCs/>
                <w:sz w:val="24"/>
                <w:szCs w:val="24"/>
              </w:rPr>
              <w:t xml:space="preserve">зменшення суми субординованого боргу, що </w:t>
            </w:r>
            <w:r w:rsidRPr="00825C2D">
              <w:rPr>
                <w:b/>
                <w:bCs/>
                <w:sz w:val="24"/>
                <w:szCs w:val="24"/>
              </w:rPr>
              <w:t>включається до</w:t>
            </w:r>
            <w:r w:rsidRPr="00825C2D">
              <w:rPr>
                <w:bCs/>
                <w:sz w:val="24"/>
                <w:szCs w:val="24"/>
              </w:rPr>
              <w:t xml:space="preserve"> регулятивного капіталу</w:t>
            </w:r>
          </w:p>
          <w:p w14:paraId="021DEB1E" w14:textId="77777777" w:rsidR="00390303" w:rsidRPr="00825C2D" w:rsidRDefault="00390303" w:rsidP="00390303">
            <w:pPr>
              <w:shd w:val="clear" w:color="auto" w:fill="FFFFFF"/>
              <w:spacing w:before="150" w:after="150"/>
              <w:jc w:val="right"/>
              <w:rPr>
                <w:sz w:val="24"/>
                <w:szCs w:val="24"/>
              </w:rPr>
            </w:pPr>
            <w:bookmarkStart w:id="17" w:name="n106"/>
            <w:bookmarkEnd w:id="17"/>
            <w:r w:rsidRPr="00825C2D">
              <w:rPr>
                <w:sz w:val="24"/>
                <w:szCs w:val="24"/>
              </w:rPr>
              <w:t>Таблиця</w:t>
            </w:r>
          </w:p>
          <w:tbl>
            <w:tblPr>
              <w:tblW w:w="5000" w:type="pct"/>
              <w:tblLayout w:type="fixed"/>
              <w:tblCellMar>
                <w:top w:w="12" w:type="dxa"/>
                <w:left w:w="12" w:type="dxa"/>
                <w:bottom w:w="12" w:type="dxa"/>
                <w:right w:w="12" w:type="dxa"/>
              </w:tblCellMar>
              <w:tblLook w:val="04A0" w:firstRow="1" w:lastRow="0" w:firstColumn="1" w:lastColumn="0" w:noHBand="0" w:noVBand="1"/>
            </w:tblPr>
            <w:tblGrid>
              <w:gridCol w:w="527"/>
              <w:gridCol w:w="3492"/>
              <w:gridCol w:w="2570"/>
            </w:tblGrid>
            <w:tr w:rsidR="00825C2D" w:rsidRPr="00825C2D" w14:paraId="2A17CD3E" w14:textId="77777777" w:rsidTr="0032435A">
              <w:tc>
                <w:tcPr>
                  <w:tcW w:w="400" w:type="pct"/>
                  <w:tcBorders>
                    <w:top w:val="single" w:sz="6" w:space="0" w:color="000000"/>
                    <w:left w:val="single" w:sz="6" w:space="0" w:color="000000"/>
                    <w:bottom w:val="single" w:sz="6" w:space="0" w:color="000000"/>
                    <w:right w:val="single" w:sz="6" w:space="0" w:color="000000"/>
                  </w:tcBorders>
                  <w:hideMark/>
                </w:tcPr>
                <w:p w14:paraId="50D19E1C" w14:textId="77777777" w:rsidR="00390303" w:rsidRPr="00825C2D" w:rsidRDefault="00390303" w:rsidP="00825C2D">
                  <w:pPr>
                    <w:spacing w:before="150" w:after="150"/>
                    <w:jc w:val="center"/>
                    <w:rPr>
                      <w:sz w:val="24"/>
                      <w:szCs w:val="24"/>
                    </w:rPr>
                  </w:pPr>
                  <w:bookmarkStart w:id="18" w:name="n107"/>
                  <w:bookmarkEnd w:id="18"/>
                  <w:r w:rsidRPr="00825C2D">
                    <w:rPr>
                      <w:sz w:val="24"/>
                      <w:szCs w:val="24"/>
                    </w:rPr>
                    <w:t>№ з/п</w:t>
                  </w:r>
                </w:p>
              </w:tc>
              <w:tc>
                <w:tcPr>
                  <w:tcW w:w="2650" w:type="pct"/>
                  <w:tcBorders>
                    <w:top w:val="single" w:sz="6" w:space="0" w:color="000000"/>
                    <w:left w:val="single" w:sz="6" w:space="0" w:color="000000"/>
                    <w:bottom w:val="single" w:sz="6" w:space="0" w:color="000000"/>
                    <w:right w:val="single" w:sz="6" w:space="0" w:color="000000"/>
                  </w:tcBorders>
                  <w:hideMark/>
                </w:tcPr>
                <w:p w14:paraId="14AB8B91" w14:textId="77777777" w:rsidR="00390303" w:rsidRPr="00825C2D" w:rsidRDefault="00390303" w:rsidP="00825C2D">
                  <w:pPr>
                    <w:spacing w:before="150" w:after="150"/>
                    <w:jc w:val="center"/>
                    <w:rPr>
                      <w:sz w:val="24"/>
                      <w:szCs w:val="24"/>
                    </w:rPr>
                  </w:pPr>
                  <w:r w:rsidRPr="00825C2D">
                    <w:rPr>
                      <w:sz w:val="24"/>
                      <w:szCs w:val="24"/>
                    </w:rPr>
                    <w:t>Строк до закінчення дії угоди (договору) про залучення субординованого боргу</w:t>
                  </w:r>
                </w:p>
              </w:tc>
              <w:tc>
                <w:tcPr>
                  <w:tcW w:w="2970" w:type="dxa"/>
                  <w:tcBorders>
                    <w:top w:val="single" w:sz="6" w:space="0" w:color="000000"/>
                    <w:left w:val="single" w:sz="6" w:space="0" w:color="000000"/>
                    <w:bottom w:val="single" w:sz="6" w:space="0" w:color="000000"/>
                    <w:right w:val="single" w:sz="6" w:space="0" w:color="000000"/>
                  </w:tcBorders>
                  <w:hideMark/>
                </w:tcPr>
                <w:p w14:paraId="1415F9AB" w14:textId="77777777" w:rsidR="00390303" w:rsidRPr="00825C2D" w:rsidRDefault="00390303" w:rsidP="00825C2D">
                  <w:pPr>
                    <w:spacing w:before="150" w:after="150"/>
                    <w:jc w:val="center"/>
                    <w:rPr>
                      <w:sz w:val="24"/>
                      <w:szCs w:val="24"/>
                    </w:rPr>
                  </w:pPr>
                  <w:r w:rsidRPr="00825C2D">
                    <w:rPr>
                      <w:sz w:val="24"/>
                      <w:szCs w:val="24"/>
                    </w:rPr>
                    <w:t xml:space="preserve">Сума субординованого боргу, що </w:t>
                  </w:r>
                  <w:r w:rsidRPr="00825C2D">
                    <w:rPr>
                      <w:b/>
                      <w:sz w:val="24"/>
                      <w:szCs w:val="24"/>
                    </w:rPr>
                    <w:t xml:space="preserve">включається до </w:t>
                  </w:r>
                  <w:r w:rsidRPr="00825C2D">
                    <w:rPr>
                      <w:sz w:val="24"/>
                      <w:szCs w:val="24"/>
                    </w:rPr>
                    <w:t>РК</w:t>
                  </w:r>
                </w:p>
              </w:tc>
            </w:tr>
            <w:tr w:rsidR="00825C2D" w:rsidRPr="00825C2D" w14:paraId="620BAB5B" w14:textId="77777777" w:rsidTr="0032435A">
              <w:tc>
                <w:tcPr>
                  <w:tcW w:w="400" w:type="pct"/>
                  <w:tcBorders>
                    <w:top w:val="single" w:sz="6" w:space="0" w:color="000000"/>
                    <w:left w:val="single" w:sz="6" w:space="0" w:color="000000"/>
                    <w:bottom w:val="single" w:sz="6" w:space="0" w:color="000000"/>
                    <w:right w:val="single" w:sz="6" w:space="0" w:color="000000"/>
                  </w:tcBorders>
                  <w:hideMark/>
                </w:tcPr>
                <w:p w14:paraId="6E299F3C" w14:textId="77777777" w:rsidR="00390303" w:rsidRPr="00825C2D" w:rsidRDefault="00390303" w:rsidP="00825C2D">
                  <w:pPr>
                    <w:spacing w:before="150" w:after="150"/>
                    <w:jc w:val="center"/>
                    <w:rPr>
                      <w:sz w:val="24"/>
                      <w:szCs w:val="24"/>
                    </w:rPr>
                  </w:pPr>
                  <w:r w:rsidRPr="00825C2D">
                    <w:rPr>
                      <w:sz w:val="24"/>
                      <w:szCs w:val="24"/>
                    </w:rPr>
                    <w:t>1</w:t>
                  </w:r>
                </w:p>
              </w:tc>
              <w:tc>
                <w:tcPr>
                  <w:tcW w:w="2650" w:type="pct"/>
                  <w:tcBorders>
                    <w:top w:val="single" w:sz="6" w:space="0" w:color="000000"/>
                    <w:left w:val="single" w:sz="6" w:space="0" w:color="000000"/>
                    <w:bottom w:val="single" w:sz="6" w:space="0" w:color="000000"/>
                    <w:right w:val="single" w:sz="6" w:space="0" w:color="000000"/>
                  </w:tcBorders>
                  <w:hideMark/>
                </w:tcPr>
                <w:p w14:paraId="4DCEA739" w14:textId="77777777" w:rsidR="00390303" w:rsidRPr="00825C2D" w:rsidRDefault="00390303" w:rsidP="00825C2D">
                  <w:pPr>
                    <w:spacing w:before="150" w:after="150"/>
                    <w:jc w:val="center"/>
                    <w:rPr>
                      <w:sz w:val="24"/>
                      <w:szCs w:val="24"/>
                    </w:rPr>
                  </w:pPr>
                  <w:r w:rsidRPr="00825C2D">
                    <w:rPr>
                      <w:sz w:val="24"/>
                      <w:szCs w:val="24"/>
                    </w:rPr>
                    <w:t>2</w:t>
                  </w:r>
                </w:p>
              </w:tc>
              <w:tc>
                <w:tcPr>
                  <w:tcW w:w="2970" w:type="dxa"/>
                  <w:tcBorders>
                    <w:top w:val="single" w:sz="6" w:space="0" w:color="000000"/>
                    <w:left w:val="single" w:sz="6" w:space="0" w:color="000000"/>
                    <w:bottom w:val="single" w:sz="6" w:space="0" w:color="000000"/>
                    <w:right w:val="single" w:sz="6" w:space="0" w:color="000000"/>
                  </w:tcBorders>
                  <w:hideMark/>
                </w:tcPr>
                <w:p w14:paraId="0BF21B3D" w14:textId="77777777" w:rsidR="00390303" w:rsidRPr="00825C2D" w:rsidRDefault="00390303" w:rsidP="00825C2D">
                  <w:pPr>
                    <w:spacing w:before="150" w:after="150"/>
                    <w:jc w:val="center"/>
                    <w:rPr>
                      <w:sz w:val="24"/>
                      <w:szCs w:val="24"/>
                    </w:rPr>
                  </w:pPr>
                  <w:r w:rsidRPr="00825C2D">
                    <w:rPr>
                      <w:sz w:val="24"/>
                      <w:szCs w:val="24"/>
                    </w:rPr>
                    <w:t>3</w:t>
                  </w:r>
                </w:p>
              </w:tc>
            </w:tr>
            <w:tr w:rsidR="00825C2D" w:rsidRPr="00825C2D" w14:paraId="6B57EF04" w14:textId="77777777" w:rsidTr="0032435A">
              <w:tc>
                <w:tcPr>
                  <w:tcW w:w="400" w:type="pct"/>
                  <w:tcBorders>
                    <w:top w:val="single" w:sz="6" w:space="0" w:color="000000"/>
                    <w:left w:val="single" w:sz="6" w:space="0" w:color="000000"/>
                    <w:bottom w:val="single" w:sz="6" w:space="0" w:color="000000"/>
                    <w:right w:val="single" w:sz="6" w:space="0" w:color="000000"/>
                  </w:tcBorders>
                  <w:hideMark/>
                </w:tcPr>
                <w:p w14:paraId="74B9A4BC" w14:textId="77777777" w:rsidR="00390303" w:rsidRPr="00825C2D" w:rsidRDefault="00390303" w:rsidP="00390303">
                  <w:pPr>
                    <w:spacing w:before="150" w:after="150"/>
                    <w:jc w:val="center"/>
                    <w:rPr>
                      <w:sz w:val="24"/>
                      <w:szCs w:val="24"/>
                    </w:rPr>
                  </w:pPr>
                  <w:r w:rsidRPr="00825C2D">
                    <w:rPr>
                      <w:sz w:val="24"/>
                      <w:szCs w:val="24"/>
                    </w:rPr>
                    <w:t>1</w:t>
                  </w:r>
                </w:p>
              </w:tc>
              <w:tc>
                <w:tcPr>
                  <w:tcW w:w="2650" w:type="pct"/>
                  <w:tcBorders>
                    <w:top w:val="single" w:sz="6" w:space="0" w:color="000000"/>
                    <w:left w:val="single" w:sz="6" w:space="0" w:color="000000"/>
                    <w:bottom w:val="single" w:sz="6" w:space="0" w:color="000000"/>
                    <w:right w:val="single" w:sz="6" w:space="0" w:color="000000"/>
                  </w:tcBorders>
                  <w:hideMark/>
                </w:tcPr>
                <w:p w14:paraId="10F1C8F8" w14:textId="77777777" w:rsidR="00390303" w:rsidRPr="00825C2D" w:rsidRDefault="00390303" w:rsidP="00390303">
                  <w:pPr>
                    <w:spacing w:before="150" w:after="150"/>
                    <w:rPr>
                      <w:sz w:val="24"/>
                      <w:szCs w:val="24"/>
                    </w:rPr>
                  </w:pPr>
                  <w:r w:rsidRPr="00825C2D">
                    <w:rPr>
                      <w:sz w:val="24"/>
                      <w:szCs w:val="24"/>
                    </w:rPr>
                    <w:t>Більше чотирьох років</w:t>
                  </w:r>
                </w:p>
              </w:tc>
              <w:tc>
                <w:tcPr>
                  <w:tcW w:w="2970" w:type="dxa"/>
                  <w:tcBorders>
                    <w:top w:val="single" w:sz="6" w:space="0" w:color="000000"/>
                    <w:left w:val="single" w:sz="6" w:space="0" w:color="000000"/>
                    <w:bottom w:val="single" w:sz="6" w:space="0" w:color="000000"/>
                    <w:right w:val="single" w:sz="6" w:space="0" w:color="000000"/>
                  </w:tcBorders>
                  <w:hideMark/>
                </w:tcPr>
                <w:p w14:paraId="26B7918F" w14:textId="77777777" w:rsidR="00390303" w:rsidRPr="00825C2D" w:rsidRDefault="00390303" w:rsidP="00390303">
                  <w:pPr>
                    <w:spacing w:before="150" w:after="150"/>
                    <w:jc w:val="center"/>
                    <w:rPr>
                      <w:sz w:val="24"/>
                      <w:szCs w:val="24"/>
                    </w:rPr>
                  </w:pPr>
                  <w:r w:rsidRPr="00825C2D">
                    <w:rPr>
                      <w:sz w:val="24"/>
                      <w:szCs w:val="24"/>
                    </w:rPr>
                    <w:t>100</w:t>
                  </w:r>
                </w:p>
              </w:tc>
            </w:tr>
            <w:tr w:rsidR="00825C2D" w:rsidRPr="00825C2D" w14:paraId="04C61018" w14:textId="77777777" w:rsidTr="0032435A">
              <w:tc>
                <w:tcPr>
                  <w:tcW w:w="400" w:type="pct"/>
                  <w:tcBorders>
                    <w:top w:val="single" w:sz="6" w:space="0" w:color="000000"/>
                    <w:left w:val="single" w:sz="6" w:space="0" w:color="000000"/>
                    <w:bottom w:val="single" w:sz="6" w:space="0" w:color="000000"/>
                    <w:right w:val="single" w:sz="6" w:space="0" w:color="000000"/>
                  </w:tcBorders>
                  <w:hideMark/>
                </w:tcPr>
                <w:p w14:paraId="27796504" w14:textId="77777777" w:rsidR="00390303" w:rsidRPr="00825C2D" w:rsidRDefault="00390303" w:rsidP="00390303">
                  <w:pPr>
                    <w:spacing w:before="150" w:after="150"/>
                    <w:jc w:val="center"/>
                    <w:rPr>
                      <w:sz w:val="24"/>
                      <w:szCs w:val="24"/>
                    </w:rPr>
                  </w:pPr>
                  <w:r w:rsidRPr="00825C2D">
                    <w:rPr>
                      <w:sz w:val="24"/>
                      <w:szCs w:val="24"/>
                    </w:rPr>
                    <w:t>2</w:t>
                  </w:r>
                </w:p>
              </w:tc>
              <w:tc>
                <w:tcPr>
                  <w:tcW w:w="2650" w:type="pct"/>
                  <w:tcBorders>
                    <w:top w:val="single" w:sz="6" w:space="0" w:color="000000"/>
                    <w:left w:val="single" w:sz="6" w:space="0" w:color="000000"/>
                    <w:bottom w:val="single" w:sz="6" w:space="0" w:color="000000"/>
                    <w:right w:val="single" w:sz="6" w:space="0" w:color="000000"/>
                  </w:tcBorders>
                  <w:hideMark/>
                </w:tcPr>
                <w:p w14:paraId="772507F7" w14:textId="77777777" w:rsidR="00390303" w:rsidRPr="00825C2D" w:rsidRDefault="00390303" w:rsidP="00390303">
                  <w:pPr>
                    <w:spacing w:before="150" w:after="150"/>
                    <w:rPr>
                      <w:sz w:val="24"/>
                      <w:szCs w:val="24"/>
                    </w:rPr>
                  </w:pPr>
                  <w:r w:rsidRPr="00825C2D">
                    <w:rPr>
                      <w:sz w:val="24"/>
                      <w:szCs w:val="24"/>
                    </w:rPr>
                    <w:t>Від чотирьох до трьох років</w:t>
                  </w:r>
                </w:p>
              </w:tc>
              <w:tc>
                <w:tcPr>
                  <w:tcW w:w="2970" w:type="dxa"/>
                  <w:tcBorders>
                    <w:top w:val="single" w:sz="6" w:space="0" w:color="000000"/>
                    <w:left w:val="single" w:sz="6" w:space="0" w:color="000000"/>
                    <w:bottom w:val="single" w:sz="6" w:space="0" w:color="000000"/>
                    <w:right w:val="single" w:sz="6" w:space="0" w:color="000000"/>
                  </w:tcBorders>
                  <w:hideMark/>
                </w:tcPr>
                <w:p w14:paraId="62AF93CD" w14:textId="77777777" w:rsidR="00390303" w:rsidRPr="00825C2D" w:rsidRDefault="00390303" w:rsidP="00390303">
                  <w:pPr>
                    <w:spacing w:before="150" w:after="150"/>
                    <w:jc w:val="center"/>
                    <w:rPr>
                      <w:sz w:val="24"/>
                      <w:szCs w:val="24"/>
                    </w:rPr>
                  </w:pPr>
                  <w:r w:rsidRPr="00825C2D">
                    <w:rPr>
                      <w:sz w:val="24"/>
                      <w:szCs w:val="24"/>
                    </w:rPr>
                    <w:t>80</w:t>
                  </w:r>
                </w:p>
              </w:tc>
            </w:tr>
            <w:tr w:rsidR="00825C2D" w:rsidRPr="00825C2D" w14:paraId="5E43C92F" w14:textId="77777777" w:rsidTr="0032435A">
              <w:tc>
                <w:tcPr>
                  <w:tcW w:w="400" w:type="pct"/>
                  <w:tcBorders>
                    <w:top w:val="single" w:sz="6" w:space="0" w:color="000000"/>
                    <w:left w:val="single" w:sz="6" w:space="0" w:color="000000"/>
                    <w:bottom w:val="single" w:sz="6" w:space="0" w:color="000000"/>
                    <w:right w:val="single" w:sz="6" w:space="0" w:color="000000"/>
                  </w:tcBorders>
                  <w:hideMark/>
                </w:tcPr>
                <w:p w14:paraId="3D641C6B" w14:textId="77777777" w:rsidR="00390303" w:rsidRPr="00825C2D" w:rsidRDefault="00390303" w:rsidP="00390303">
                  <w:pPr>
                    <w:spacing w:before="150" w:after="150"/>
                    <w:jc w:val="center"/>
                    <w:rPr>
                      <w:sz w:val="24"/>
                      <w:szCs w:val="24"/>
                    </w:rPr>
                  </w:pPr>
                  <w:r w:rsidRPr="00825C2D">
                    <w:rPr>
                      <w:sz w:val="24"/>
                      <w:szCs w:val="24"/>
                    </w:rPr>
                    <w:t>3</w:t>
                  </w:r>
                </w:p>
              </w:tc>
              <w:tc>
                <w:tcPr>
                  <w:tcW w:w="2650" w:type="pct"/>
                  <w:tcBorders>
                    <w:top w:val="single" w:sz="6" w:space="0" w:color="000000"/>
                    <w:left w:val="single" w:sz="6" w:space="0" w:color="000000"/>
                    <w:bottom w:val="single" w:sz="6" w:space="0" w:color="000000"/>
                    <w:right w:val="single" w:sz="6" w:space="0" w:color="000000"/>
                  </w:tcBorders>
                  <w:hideMark/>
                </w:tcPr>
                <w:p w14:paraId="44A31B73" w14:textId="77777777" w:rsidR="00390303" w:rsidRPr="00825C2D" w:rsidRDefault="00390303" w:rsidP="00390303">
                  <w:pPr>
                    <w:spacing w:before="150" w:after="150"/>
                    <w:rPr>
                      <w:sz w:val="24"/>
                      <w:szCs w:val="24"/>
                    </w:rPr>
                  </w:pPr>
                  <w:r w:rsidRPr="00825C2D">
                    <w:rPr>
                      <w:sz w:val="24"/>
                      <w:szCs w:val="24"/>
                    </w:rPr>
                    <w:t>Від трьох до двох років</w:t>
                  </w:r>
                </w:p>
              </w:tc>
              <w:tc>
                <w:tcPr>
                  <w:tcW w:w="2970" w:type="dxa"/>
                  <w:tcBorders>
                    <w:top w:val="single" w:sz="6" w:space="0" w:color="000000"/>
                    <w:left w:val="single" w:sz="6" w:space="0" w:color="000000"/>
                    <w:bottom w:val="single" w:sz="6" w:space="0" w:color="000000"/>
                    <w:right w:val="single" w:sz="6" w:space="0" w:color="000000"/>
                  </w:tcBorders>
                  <w:hideMark/>
                </w:tcPr>
                <w:p w14:paraId="4060D7CE" w14:textId="77777777" w:rsidR="00390303" w:rsidRPr="00825C2D" w:rsidRDefault="00390303" w:rsidP="00390303">
                  <w:pPr>
                    <w:spacing w:before="150" w:after="150"/>
                    <w:jc w:val="center"/>
                    <w:rPr>
                      <w:sz w:val="24"/>
                      <w:szCs w:val="24"/>
                    </w:rPr>
                  </w:pPr>
                  <w:r w:rsidRPr="00825C2D">
                    <w:rPr>
                      <w:sz w:val="24"/>
                      <w:szCs w:val="24"/>
                    </w:rPr>
                    <w:t>60</w:t>
                  </w:r>
                </w:p>
              </w:tc>
            </w:tr>
            <w:tr w:rsidR="00825C2D" w:rsidRPr="00825C2D" w14:paraId="4408F247" w14:textId="77777777" w:rsidTr="0032435A">
              <w:tc>
                <w:tcPr>
                  <w:tcW w:w="400" w:type="pct"/>
                  <w:tcBorders>
                    <w:top w:val="single" w:sz="6" w:space="0" w:color="000000"/>
                    <w:left w:val="single" w:sz="6" w:space="0" w:color="000000"/>
                    <w:bottom w:val="single" w:sz="6" w:space="0" w:color="000000"/>
                    <w:right w:val="single" w:sz="6" w:space="0" w:color="000000"/>
                  </w:tcBorders>
                  <w:hideMark/>
                </w:tcPr>
                <w:p w14:paraId="6989F79F" w14:textId="77777777" w:rsidR="00390303" w:rsidRPr="00825C2D" w:rsidRDefault="00390303" w:rsidP="00390303">
                  <w:pPr>
                    <w:spacing w:before="150" w:after="150"/>
                    <w:jc w:val="center"/>
                    <w:rPr>
                      <w:sz w:val="24"/>
                      <w:szCs w:val="24"/>
                    </w:rPr>
                  </w:pPr>
                  <w:r w:rsidRPr="00825C2D">
                    <w:rPr>
                      <w:sz w:val="24"/>
                      <w:szCs w:val="24"/>
                    </w:rPr>
                    <w:t>4</w:t>
                  </w:r>
                </w:p>
              </w:tc>
              <w:tc>
                <w:tcPr>
                  <w:tcW w:w="2650" w:type="pct"/>
                  <w:tcBorders>
                    <w:top w:val="single" w:sz="6" w:space="0" w:color="000000"/>
                    <w:left w:val="single" w:sz="6" w:space="0" w:color="000000"/>
                    <w:bottom w:val="single" w:sz="6" w:space="0" w:color="000000"/>
                    <w:right w:val="single" w:sz="6" w:space="0" w:color="000000"/>
                  </w:tcBorders>
                  <w:hideMark/>
                </w:tcPr>
                <w:p w14:paraId="6CED9003" w14:textId="77777777" w:rsidR="00390303" w:rsidRPr="00825C2D" w:rsidRDefault="00390303" w:rsidP="00390303">
                  <w:pPr>
                    <w:spacing w:before="150" w:after="150"/>
                    <w:rPr>
                      <w:sz w:val="24"/>
                      <w:szCs w:val="24"/>
                    </w:rPr>
                  </w:pPr>
                  <w:r w:rsidRPr="00825C2D">
                    <w:rPr>
                      <w:sz w:val="24"/>
                      <w:szCs w:val="24"/>
                    </w:rPr>
                    <w:t>Від двох до одного року</w:t>
                  </w:r>
                </w:p>
              </w:tc>
              <w:tc>
                <w:tcPr>
                  <w:tcW w:w="2970" w:type="dxa"/>
                  <w:tcBorders>
                    <w:top w:val="single" w:sz="6" w:space="0" w:color="000000"/>
                    <w:left w:val="single" w:sz="6" w:space="0" w:color="000000"/>
                    <w:bottom w:val="single" w:sz="6" w:space="0" w:color="000000"/>
                    <w:right w:val="single" w:sz="6" w:space="0" w:color="000000"/>
                  </w:tcBorders>
                  <w:hideMark/>
                </w:tcPr>
                <w:p w14:paraId="70BAA997" w14:textId="77777777" w:rsidR="00390303" w:rsidRPr="00825C2D" w:rsidRDefault="00390303" w:rsidP="00390303">
                  <w:pPr>
                    <w:spacing w:before="150" w:after="150"/>
                    <w:jc w:val="center"/>
                    <w:rPr>
                      <w:sz w:val="24"/>
                      <w:szCs w:val="24"/>
                    </w:rPr>
                  </w:pPr>
                  <w:r w:rsidRPr="00825C2D">
                    <w:rPr>
                      <w:sz w:val="24"/>
                      <w:szCs w:val="24"/>
                    </w:rPr>
                    <w:t>40</w:t>
                  </w:r>
                </w:p>
              </w:tc>
            </w:tr>
            <w:tr w:rsidR="00825C2D" w:rsidRPr="00825C2D" w14:paraId="2BF080BC" w14:textId="77777777" w:rsidTr="0032435A">
              <w:tc>
                <w:tcPr>
                  <w:tcW w:w="400" w:type="pct"/>
                  <w:tcBorders>
                    <w:top w:val="single" w:sz="6" w:space="0" w:color="000000"/>
                    <w:left w:val="single" w:sz="6" w:space="0" w:color="000000"/>
                    <w:bottom w:val="single" w:sz="6" w:space="0" w:color="000000"/>
                    <w:right w:val="single" w:sz="6" w:space="0" w:color="000000"/>
                  </w:tcBorders>
                  <w:hideMark/>
                </w:tcPr>
                <w:p w14:paraId="26436157" w14:textId="77777777" w:rsidR="00390303" w:rsidRPr="00825C2D" w:rsidRDefault="00390303" w:rsidP="00390303">
                  <w:pPr>
                    <w:spacing w:before="150" w:after="150"/>
                    <w:jc w:val="center"/>
                    <w:rPr>
                      <w:sz w:val="24"/>
                      <w:szCs w:val="24"/>
                    </w:rPr>
                  </w:pPr>
                  <w:r w:rsidRPr="00825C2D">
                    <w:rPr>
                      <w:sz w:val="24"/>
                      <w:szCs w:val="24"/>
                    </w:rPr>
                    <w:t>5</w:t>
                  </w:r>
                </w:p>
              </w:tc>
              <w:tc>
                <w:tcPr>
                  <w:tcW w:w="2650" w:type="pct"/>
                  <w:tcBorders>
                    <w:top w:val="single" w:sz="6" w:space="0" w:color="000000"/>
                    <w:left w:val="single" w:sz="6" w:space="0" w:color="000000"/>
                    <w:bottom w:val="single" w:sz="6" w:space="0" w:color="000000"/>
                    <w:right w:val="single" w:sz="6" w:space="0" w:color="000000"/>
                  </w:tcBorders>
                  <w:hideMark/>
                </w:tcPr>
                <w:p w14:paraId="01FA0E64" w14:textId="77777777" w:rsidR="00390303" w:rsidRPr="00825C2D" w:rsidRDefault="00390303" w:rsidP="00390303">
                  <w:pPr>
                    <w:spacing w:before="150" w:after="150"/>
                    <w:rPr>
                      <w:sz w:val="24"/>
                      <w:szCs w:val="24"/>
                    </w:rPr>
                  </w:pPr>
                  <w:r w:rsidRPr="00825C2D">
                    <w:rPr>
                      <w:sz w:val="24"/>
                      <w:szCs w:val="24"/>
                    </w:rPr>
                    <w:t>Менше одного року</w:t>
                  </w:r>
                </w:p>
              </w:tc>
              <w:tc>
                <w:tcPr>
                  <w:tcW w:w="2970" w:type="dxa"/>
                  <w:tcBorders>
                    <w:top w:val="single" w:sz="6" w:space="0" w:color="000000"/>
                    <w:left w:val="single" w:sz="6" w:space="0" w:color="000000"/>
                    <w:bottom w:val="single" w:sz="6" w:space="0" w:color="000000"/>
                    <w:right w:val="single" w:sz="6" w:space="0" w:color="000000"/>
                  </w:tcBorders>
                  <w:hideMark/>
                </w:tcPr>
                <w:p w14:paraId="7106C640" w14:textId="77777777" w:rsidR="00390303" w:rsidRPr="00825C2D" w:rsidRDefault="00390303" w:rsidP="00390303">
                  <w:pPr>
                    <w:spacing w:before="150" w:after="150"/>
                    <w:jc w:val="center"/>
                    <w:rPr>
                      <w:sz w:val="24"/>
                      <w:szCs w:val="24"/>
                    </w:rPr>
                  </w:pPr>
                  <w:r w:rsidRPr="00825C2D">
                    <w:rPr>
                      <w:sz w:val="24"/>
                      <w:szCs w:val="24"/>
                    </w:rPr>
                    <w:t>20</w:t>
                  </w:r>
                </w:p>
              </w:tc>
            </w:tr>
          </w:tbl>
          <w:p w14:paraId="4487840A" w14:textId="77777777" w:rsidR="00390303" w:rsidRPr="00825C2D" w:rsidRDefault="00390303" w:rsidP="00390303">
            <w:pPr>
              <w:pStyle w:val="a4"/>
              <w:spacing w:before="0" w:beforeAutospacing="0" w:after="0" w:afterAutospacing="0"/>
              <w:ind w:firstLine="318"/>
              <w:jc w:val="both"/>
              <w:rPr>
                <w:shd w:val="clear" w:color="auto" w:fill="FFFFFF"/>
              </w:rPr>
            </w:pPr>
          </w:p>
          <w:p w14:paraId="1DE14203" w14:textId="77777777" w:rsidR="00390303" w:rsidRPr="00825C2D" w:rsidRDefault="00390303" w:rsidP="00390303">
            <w:pPr>
              <w:shd w:val="clear" w:color="auto" w:fill="FFFFFF"/>
              <w:spacing w:after="150"/>
              <w:ind w:firstLine="450"/>
              <w:rPr>
                <w:sz w:val="24"/>
                <w:szCs w:val="24"/>
              </w:rPr>
            </w:pPr>
            <w:r w:rsidRPr="00825C2D">
              <w:rPr>
                <w:sz w:val="24"/>
                <w:szCs w:val="24"/>
              </w:rPr>
              <w:t>1. Приклад № 1.</w:t>
            </w:r>
          </w:p>
          <w:p w14:paraId="65AE206A" w14:textId="77777777" w:rsidR="00390303" w:rsidRPr="00825C2D" w:rsidRDefault="00390303" w:rsidP="00390303">
            <w:pPr>
              <w:shd w:val="clear" w:color="auto" w:fill="FFFFFF"/>
              <w:spacing w:after="150"/>
              <w:ind w:firstLine="450"/>
              <w:rPr>
                <w:sz w:val="24"/>
                <w:szCs w:val="24"/>
              </w:rPr>
            </w:pPr>
            <w:bookmarkStart w:id="19" w:name="n109"/>
            <w:bookmarkEnd w:id="19"/>
            <w:r w:rsidRPr="00825C2D">
              <w:rPr>
                <w:sz w:val="24"/>
                <w:szCs w:val="24"/>
              </w:rPr>
              <w:lastRenderedPageBreak/>
              <w:t>Строк, на який небанківський гарант залучив кошти на умовах субординованого боргу, становить сім років (з 01 лютого 2020 року до 31 січня 2027 року).</w:t>
            </w:r>
          </w:p>
          <w:p w14:paraId="641E6C9B" w14:textId="77777777" w:rsidR="00390303" w:rsidRPr="00825C2D" w:rsidRDefault="00390303" w:rsidP="00390303">
            <w:pPr>
              <w:shd w:val="clear" w:color="auto" w:fill="FFFFFF"/>
              <w:spacing w:after="150"/>
              <w:ind w:firstLine="450"/>
              <w:rPr>
                <w:sz w:val="24"/>
                <w:szCs w:val="24"/>
              </w:rPr>
            </w:pPr>
            <w:bookmarkStart w:id="20" w:name="n110"/>
            <w:bookmarkEnd w:id="20"/>
            <w:r w:rsidRPr="00825C2D">
              <w:rPr>
                <w:sz w:val="24"/>
                <w:szCs w:val="24"/>
              </w:rPr>
              <w:t>Сума залучених коштів на умовах субординованого боргу, на яку отримано дозвіл, дорівнює 600000 грн.</w:t>
            </w:r>
          </w:p>
          <w:p w14:paraId="7E3957F0" w14:textId="77777777" w:rsidR="00390303" w:rsidRPr="00825C2D" w:rsidRDefault="00390303" w:rsidP="00390303">
            <w:pPr>
              <w:shd w:val="clear" w:color="auto" w:fill="FFFFFF"/>
              <w:spacing w:after="150"/>
              <w:ind w:firstLine="450"/>
              <w:rPr>
                <w:sz w:val="24"/>
                <w:szCs w:val="24"/>
              </w:rPr>
            </w:pPr>
            <w:bookmarkStart w:id="21" w:name="n111"/>
            <w:bookmarkEnd w:id="21"/>
            <w:r w:rsidRPr="00825C2D">
              <w:rPr>
                <w:sz w:val="24"/>
                <w:szCs w:val="24"/>
              </w:rPr>
              <w:t xml:space="preserve">Розрахунок суми субординованого боргу, що </w:t>
            </w:r>
            <w:r w:rsidRPr="00825C2D">
              <w:rPr>
                <w:b/>
                <w:sz w:val="24"/>
                <w:szCs w:val="24"/>
              </w:rPr>
              <w:t>включається</w:t>
            </w:r>
            <w:r w:rsidRPr="00825C2D">
              <w:rPr>
                <w:sz w:val="24"/>
                <w:szCs w:val="24"/>
              </w:rPr>
              <w:t xml:space="preserve"> </w:t>
            </w:r>
            <w:r w:rsidRPr="00825C2D">
              <w:rPr>
                <w:b/>
                <w:sz w:val="24"/>
                <w:szCs w:val="24"/>
              </w:rPr>
              <w:t>до</w:t>
            </w:r>
            <w:r w:rsidRPr="00825C2D">
              <w:rPr>
                <w:sz w:val="24"/>
                <w:szCs w:val="24"/>
              </w:rPr>
              <w:t xml:space="preserve"> РК, здійснюється так:</w:t>
            </w:r>
          </w:p>
          <w:p w14:paraId="78EF8606" w14:textId="77777777" w:rsidR="00390303" w:rsidRPr="00825C2D" w:rsidRDefault="00390303" w:rsidP="00390303">
            <w:pPr>
              <w:shd w:val="clear" w:color="auto" w:fill="FFFFFF"/>
              <w:spacing w:after="150"/>
              <w:ind w:firstLine="450"/>
              <w:rPr>
                <w:sz w:val="24"/>
                <w:szCs w:val="24"/>
              </w:rPr>
            </w:pPr>
            <w:bookmarkStart w:id="22" w:name="n112"/>
            <w:bookmarkEnd w:id="22"/>
            <w:r w:rsidRPr="00825C2D">
              <w:rPr>
                <w:sz w:val="24"/>
                <w:szCs w:val="24"/>
              </w:rPr>
              <w:t>1) з 01 лютого 2020 року до 31 січня 2023 року - 100%, або 600000 грн;</w:t>
            </w:r>
          </w:p>
          <w:p w14:paraId="17F58D7E" w14:textId="77777777" w:rsidR="00390303" w:rsidRPr="00825C2D" w:rsidRDefault="00390303" w:rsidP="00390303">
            <w:pPr>
              <w:shd w:val="clear" w:color="auto" w:fill="FFFFFF"/>
              <w:spacing w:after="150"/>
              <w:ind w:firstLine="450"/>
              <w:rPr>
                <w:sz w:val="24"/>
                <w:szCs w:val="24"/>
              </w:rPr>
            </w:pPr>
            <w:bookmarkStart w:id="23" w:name="n113"/>
            <w:bookmarkEnd w:id="23"/>
            <w:r w:rsidRPr="00825C2D">
              <w:rPr>
                <w:sz w:val="24"/>
                <w:szCs w:val="24"/>
              </w:rPr>
              <w:t>2) з 01 лютого 2023 року до 31 січня 2024 року - 80%, або 480000 грн;</w:t>
            </w:r>
          </w:p>
          <w:p w14:paraId="4241D13F" w14:textId="77777777" w:rsidR="00390303" w:rsidRPr="00825C2D" w:rsidRDefault="00390303" w:rsidP="00390303">
            <w:pPr>
              <w:shd w:val="clear" w:color="auto" w:fill="FFFFFF"/>
              <w:spacing w:after="150"/>
              <w:ind w:firstLine="450"/>
              <w:rPr>
                <w:sz w:val="24"/>
                <w:szCs w:val="24"/>
              </w:rPr>
            </w:pPr>
            <w:bookmarkStart w:id="24" w:name="n114"/>
            <w:bookmarkEnd w:id="24"/>
            <w:r w:rsidRPr="00825C2D">
              <w:rPr>
                <w:sz w:val="24"/>
                <w:szCs w:val="24"/>
              </w:rPr>
              <w:t>3) з 01 лютого 2024 року до 31 січня 2025 року - 60%, або 360000 грн;</w:t>
            </w:r>
          </w:p>
          <w:p w14:paraId="720539BF" w14:textId="77777777" w:rsidR="00390303" w:rsidRPr="00825C2D" w:rsidRDefault="00390303" w:rsidP="00390303">
            <w:pPr>
              <w:shd w:val="clear" w:color="auto" w:fill="FFFFFF"/>
              <w:spacing w:after="150"/>
              <w:ind w:firstLine="450"/>
              <w:rPr>
                <w:sz w:val="24"/>
                <w:szCs w:val="24"/>
              </w:rPr>
            </w:pPr>
            <w:bookmarkStart w:id="25" w:name="n115"/>
            <w:bookmarkEnd w:id="25"/>
            <w:r w:rsidRPr="00825C2D">
              <w:rPr>
                <w:sz w:val="24"/>
                <w:szCs w:val="24"/>
              </w:rPr>
              <w:t>4) з 01 лютого 2025 року до 31 січня 2026 року - 40%, або 240000 грн;</w:t>
            </w:r>
          </w:p>
          <w:p w14:paraId="4D8548C0" w14:textId="77777777" w:rsidR="00390303" w:rsidRPr="00825C2D" w:rsidRDefault="00390303" w:rsidP="00390303">
            <w:pPr>
              <w:shd w:val="clear" w:color="auto" w:fill="FFFFFF"/>
              <w:spacing w:after="150"/>
              <w:ind w:firstLine="450"/>
              <w:rPr>
                <w:sz w:val="24"/>
                <w:szCs w:val="24"/>
              </w:rPr>
            </w:pPr>
            <w:bookmarkStart w:id="26" w:name="n116"/>
            <w:bookmarkEnd w:id="26"/>
            <w:r w:rsidRPr="00825C2D">
              <w:rPr>
                <w:sz w:val="24"/>
                <w:szCs w:val="24"/>
              </w:rPr>
              <w:t>5) з 01 лютого 2026 року до 31 січня 2027 року - 20%, або 120000 грн.</w:t>
            </w:r>
          </w:p>
          <w:p w14:paraId="0D44CB0A" w14:textId="77777777" w:rsidR="00825C2D" w:rsidRPr="00825C2D" w:rsidRDefault="00825C2D" w:rsidP="00825C2D">
            <w:pPr>
              <w:shd w:val="clear" w:color="auto" w:fill="FFFFFF"/>
              <w:spacing w:after="150"/>
              <w:ind w:firstLine="450"/>
              <w:rPr>
                <w:sz w:val="24"/>
                <w:szCs w:val="24"/>
              </w:rPr>
            </w:pPr>
            <w:bookmarkStart w:id="27" w:name="n117"/>
            <w:bookmarkEnd w:id="27"/>
            <w:r w:rsidRPr="00825C2D">
              <w:rPr>
                <w:sz w:val="24"/>
                <w:szCs w:val="24"/>
              </w:rPr>
              <w:t>Приклад № 2.</w:t>
            </w:r>
          </w:p>
          <w:p w14:paraId="232DF795" w14:textId="77777777" w:rsidR="00825C2D" w:rsidRPr="00825C2D" w:rsidRDefault="00825C2D" w:rsidP="00825C2D">
            <w:pPr>
              <w:shd w:val="clear" w:color="auto" w:fill="FFFFFF"/>
              <w:spacing w:after="150"/>
              <w:ind w:firstLine="450"/>
              <w:rPr>
                <w:sz w:val="24"/>
                <w:szCs w:val="24"/>
              </w:rPr>
            </w:pPr>
            <w:r w:rsidRPr="00825C2D">
              <w:rPr>
                <w:sz w:val="24"/>
                <w:szCs w:val="24"/>
              </w:rPr>
              <w:t>Строк, на який небанківський гарант залучив кошти на умовах субординованого боргу, становить сім років (з 01 лютого 2020 року до 31 січня 2027 року).</w:t>
            </w:r>
          </w:p>
          <w:p w14:paraId="357FC467" w14:textId="77777777" w:rsidR="00825C2D" w:rsidRPr="00825C2D" w:rsidRDefault="00825C2D" w:rsidP="00825C2D">
            <w:pPr>
              <w:shd w:val="clear" w:color="auto" w:fill="FFFFFF"/>
              <w:spacing w:after="150"/>
              <w:ind w:firstLine="450"/>
              <w:rPr>
                <w:sz w:val="24"/>
                <w:szCs w:val="24"/>
              </w:rPr>
            </w:pPr>
            <w:r w:rsidRPr="00825C2D">
              <w:rPr>
                <w:sz w:val="24"/>
                <w:szCs w:val="24"/>
              </w:rPr>
              <w:t xml:space="preserve">Сума залучених коштів на умовах субординованого боргу, на яку отримано дозвіл, дорівнює 600000 грн, водночас </w:t>
            </w:r>
            <w:r w:rsidRPr="00825C2D">
              <w:rPr>
                <w:sz w:val="24"/>
                <w:szCs w:val="24"/>
              </w:rPr>
              <w:lastRenderedPageBreak/>
              <w:t>небанківський гарант 01 липня 2023 року здійснив дострокове погашення субординованого боргу на суму 100000 грн.</w:t>
            </w:r>
          </w:p>
          <w:p w14:paraId="019E82E1" w14:textId="77777777" w:rsidR="00825C2D" w:rsidRPr="00825C2D" w:rsidRDefault="00825C2D" w:rsidP="00825C2D">
            <w:pPr>
              <w:shd w:val="clear" w:color="auto" w:fill="FFFFFF"/>
              <w:spacing w:after="150"/>
              <w:ind w:firstLine="450"/>
              <w:rPr>
                <w:sz w:val="24"/>
                <w:szCs w:val="24"/>
              </w:rPr>
            </w:pPr>
            <w:r w:rsidRPr="00825C2D">
              <w:rPr>
                <w:sz w:val="24"/>
                <w:szCs w:val="24"/>
              </w:rPr>
              <w:t xml:space="preserve">Розрахунок суми субординованого боргу, що </w:t>
            </w:r>
            <w:r w:rsidRPr="00825C2D">
              <w:rPr>
                <w:b/>
                <w:sz w:val="24"/>
                <w:szCs w:val="24"/>
              </w:rPr>
              <w:t>включається до</w:t>
            </w:r>
            <w:r w:rsidRPr="00825C2D">
              <w:rPr>
                <w:sz w:val="24"/>
                <w:szCs w:val="24"/>
              </w:rPr>
              <w:t xml:space="preserve"> РК з урахуванням достроково погашеної суми субординованого боргу, здійснюється так:</w:t>
            </w:r>
          </w:p>
          <w:p w14:paraId="390FB4F3" w14:textId="77777777" w:rsidR="00825C2D" w:rsidRPr="00825C2D" w:rsidRDefault="00825C2D" w:rsidP="00825C2D">
            <w:pPr>
              <w:shd w:val="clear" w:color="auto" w:fill="FFFFFF"/>
              <w:spacing w:after="150"/>
              <w:ind w:firstLine="450"/>
              <w:rPr>
                <w:sz w:val="24"/>
                <w:szCs w:val="24"/>
              </w:rPr>
            </w:pPr>
            <w:r w:rsidRPr="00825C2D">
              <w:rPr>
                <w:sz w:val="24"/>
                <w:szCs w:val="24"/>
              </w:rPr>
              <w:t>1) з 01 лютого 2020 року до 31 січня 2023 року - 100%, або 600000 грн;</w:t>
            </w:r>
          </w:p>
          <w:p w14:paraId="2A9DA57F" w14:textId="77777777" w:rsidR="00825C2D" w:rsidRPr="00825C2D" w:rsidRDefault="00825C2D" w:rsidP="00825C2D">
            <w:pPr>
              <w:shd w:val="clear" w:color="auto" w:fill="FFFFFF"/>
              <w:spacing w:after="150"/>
              <w:ind w:firstLine="450"/>
              <w:rPr>
                <w:sz w:val="24"/>
                <w:szCs w:val="24"/>
              </w:rPr>
            </w:pPr>
            <w:r w:rsidRPr="00825C2D">
              <w:rPr>
                <w:sz w:val="24"/>
                <w:szCs w:val="24"/>
              </w:rPr>
              <w:t>2) з 01 лютого 2023 року до 30 червня 2023 року - 80%, або 480000 грн;</w:t>
            </w:r>
          </w:p>
          <w:p w14:paraId="7CE2C88F" w14:textId="77777777" w:rsidR="00390303" w:rsidRPr="00825C2D" w:rsidRDefault="00825C2D" w:rsidP="00825C2D">
            <w:pPr>
              <w:shd w:val="clear" w:color="auto" w:fill="FFFFFF"/>
              <w:spacing w:after="150"/>
              <w:ind w:firstLine="450"/>
              <w:rPr>
                <w:sz w:val="24"/>
                <w:szCs w:val="24"/>
              </w:rPr>
            </w:pPr>
            <w:r w:rsidRPr="00825C2D">
              <w:rPr>
                <w:sz w:val="24"/>
                <w:szCs w:val="24"/>
              </w:rPr>
              <w:t>3) з 01 липня 2023 року до 31 січня 2024 року - 80%, або 400000 грн.</w:t>
            </w:r>
          </w:p>
          <w:p w14:paraId="23350478" w14:textId="77777777" w:rsidR="00825C2D" w:rsidRPr="00825C2D" w:rsidRDefault="00825C2D" w:rsidP="00825C2D">
            <w:pPr>
              <w:shd w:val="clear" w:color="auto" w:fill="FFFFFF"/>
              <w:spacing w:after="150"/>
              <w:ind w:firstLine="450"/>
              <w:rPr>
                <w:sz w:val="24"/>
                <w:szCs w:val="24"/>
              </w:rPr>
            </w:pPr>
            <w:r w:rsidRPr="00825C2D">
              <w:rPr>
                <w:sz w:val="24"/>
                <w:szCs w:val="24"/>
              </w:rPr>
              <w:t>4) з 01 лютого 2024 року до 31 січня 2025 року - 60%, або 300000 грн;</w:t>
            </w:r>
          </w:p>
          <w:p w14:paraId="43F94670" w14:textId="77777777" w:rsidR="00825C2D" w:rsidRPr="00825C2D" w:rsidRDefault="00825C2D" w:rsidP="00825C2D">
            <w:pPr>
              <w:shd w:val="clear" w:color="auto" w:fill="FFFFFF"/>
              <w:spacing w:after="150"/>
              <w:ind w:firstLine="450"/>
              <w:rPr>
                <w:sz w:val="24"/>
                <w:szCs w:val="24"/>
              </w:rPr>
            </w:pPr>
            <w:bookmarkStart w:id="28" w:name="n125"/>
            <w:bookmarkEnd w:id="28"/>
            <w:r w:rsidRPr="00825C2D">
              <w:rPr>
                <w:sz w:val="24"/>
                <w:szCs w:val="24"/>
              </w:rPr>
              <w:t>5) з 01 лютого2025 року до 31 січня 2026 року - 40%, або 200000 грн;</w:t>
            </w:r>
          </w:p>
          <w:p w14:paraId="4D0FFE2B" w14:textId="77777777" w:rsidR="00825C2D" w:rsidRPr="00825C2D" w:rsidRDefault="00825C2D" w:rsidP="00825C2D">
            <w:pPr>
              <w:shd w:val="clear" w:color="auto" w:fill="FFFFFF"/>
              <w:spacing w:after="150"/>
              <w:ind w:firstLine="450"/>
            </w:pPr>
            <w:bookmarkStart w:id="29" w:name="n126"/>
            <w:bookmarkEnd w:id="29"/>
            <w:r w:rsidRPr="00825C2D">
              <w:rPr>
                <w:sz w:val="24"/>
                <w:szCs w:val="24"/>
              </w:rPr>
              <w:t>6) з 01 лютого 2026 року до 31 січня 2027 року - 20%, або 100000 грн.</w:t>
            </w:r>
          </w:p>
        </w:tc>
        <w:tc>
          <w:tcPr>
            <w:tcW w:w="6929" w:type="dxa"/>
          </w:tcPr>
          <w:tbl>
            <w:tblPr>
              <w:tblW w:w="5000" w:type="pct"/>
              <w:tblLayout w:type="fixed"/>
              <w:tblCellMar>
                <w:left w:w="0" w:type="dxa"/>
                <w:right w:w="0" w:type="dxa"/>
              </w:tblCellMar>
              <w:tblLook w:val="04A0" w:firstRow="1" w:lastRow="0" w:firstColumn="1" w:lastColumn="0" w:noHBand="0" w:noVBand="1"/>
            </w:tblPr>
            <w:tblGrid>
              <w:gridCol w:w="6713"/>
            </w:tblGrid>
            <w:tr w:rsidR="00825C2D" w:rsidRPr="00825C2D" w14:paraId="21FADAA9" w14:textId="77777777" w:rsidTr="0032435A">
              <w:tc>
                <w:tcPr>
                  <w:tcW w:w="2000" w:type="pct"/>
                  <w:hideMark/>
                </w:tcPr>
                <w:p w14:paraId="79969C65" w14:textId="77777777" w:rsidR="00390303" w:rsidRPr="00825C2D" w:rsidRDefault="00390303" w:rsidP="00390303">
                  <w:pPr>
                    <w:spacing w:before="150" w:after="150"/>
                    <w:ind w:left="3011"/>
                    <w:rPr>
                      <w:sz w:val="24"/>
                      <w:szCs w:val="24"/>
                    </w:rPr>
                  </w:pPr>
                  <w:r w:rsidRPr="00825C2D">
                    <w:rPr>
                      <w:sz w:val="24"/>
                      <w:szCs w:val="24"/>
                    </w:rPr>
                    <w:lastRenderedPageBreak/>
                    <w:t>Додаток</w:t>
                  </w:r>
                  <w:r w:rsidRPr="00825C2D">
                    <w:rPr>
                      <w:sz w:val="24"/>
                      <w:szCs w:val="24"/>
                    </w:rPr>
                    <w:br/>
                    <w:t>до Положення про регулювання</w:t>
                  </w:r>
                  <w:r w:rsidRPr="00825C2D">
                    <w:rPr>
                      <w:sz w:val="24"/>
                      <w:szCs w:val="24"/>
                    </w:rPr>
                    <w:br/>
                    <w:t>діяльності фінансових компаній, які</w:t>
                  </w:r>
                  <w:r w:rsidRPr="00825C2D">
                    <w:rPr>
                      <w:sz w:val="24"/>
                      <w:szCs w:val="24"/>
                    </w:rPr>
                    <w:br/>
                    <w:t xml:space="preserve">мають право здійснювати діяльність </w:t>
                  </w:r>
                  <w:r w:rsidRPr="00825C2D">
                    <w:rPr>
                      <w:sz w:val="24"/>
                      <w:szCs w:val="24"/>
                    </w:rPr>
                    <w:lastRenderedPageBreak/>
                    <w:t>з надання гарантій</w:t>
                  </w:r>
                  <w:r w:rsidRPr="00825C2D">
                    <w:rPr>
                      <w:sz w:val="24"/>
                      <w:szCs w:val="24"/>
                    </w:rPr>
                    <w:br/>
                    <w:t>(підпункт 2 пункту 14 розділу II)</w:t>
                  </w:r>
                </w:p>
              </w:tc>
            </w:tr>
          </w:tbl>
          <w:p w14:paraId="2FA3448F" w14:textId="77777777" w:rsidR="00390303" w:rsidRPr="00825C2D" w:rsidRDefault="00390303" w:rsidP="00390303">
            <w:pPr>
              <w:shd w:val="clear" w:color="auto" w:fill="FFFFFF"/>
              <w:spacing w:before="150" w:after="150"/>
              <w:ind w:left="450" w:right="450"/>
              <w:jc w:val="center"/>
              <w:rPr>
                <w:sz w:val="24"/>
                <w:szCs w:val="24"/>
              </w:rPr>
            </w:pPr>
            <w:r w:rsidRPr="00825C2D">
              <w:rPr>
                <w:bCs/>
                <w:sz w:val="24"/>
                <w:szCs w:val="24"/>
              </w:rPr>
              <w:lastRenderedPageBreak/>
              <w:t>Графік</w:t>
            </w:r>
            <w:r w:rsidRPr="00825C2D">
              <w:rPr>
                <w:sz w:val="24"/>
                <w:szCs w:val="24"/>
              </w:rPr>
              <w:br/>
            </w:r>
            <w:r w:rsidRPr="00825C2D">
              <w:rPr>
                <w:bCs/>
                <w:sz w:val="24"/>
                <w:szCs w:val="24"/>
              </w:rPr>
              <w:t xml:space="preserve">зменшення суми субординованого боргу, що </w:t>
            </w:r>
            <w:r w:rsidRPr="00825C2D">
              <w:rPr>
                <w:b/>
                <w:bCs/>
                <w:sz w:val="24"/>
                <w:szCs w:val="24"/>
              </w:rPr>
              <w:t>враховується до складу</w:t>
            </w:r>
            <w:r w:rsidRPr="00825C2D">
              <w:rPr>
                <w:bCs/>
                <w:sz w:val="24"/>
                <w:szCs w:val="24"/>
              </w:rPr>
              <w:t xml:space="preserve"> регулятивного капіталу</w:t>
            </w:r>
          </w:p>
          <w:p w14:paraId="258A0083" w14:textId="77777777" w:rsidR="00390303" w:rsidRPr="00825C2D" w:rsidRDefault="00390303" w:rsidP="00825C2D">
            <w:pPr>
              <w:shd w:val="clear" w:color="auto" w:fill="FFFFFF"/>
              <w:spacing w:before="150" w:after="150"/>
              <w:jc w:val="right"/>
              <w:rPr>
                <w:sz w:val="24"/>
                <w:szCs w:val="24"/>
              </w:rPr>
            </w:pPr>
            <w:r w:rsidRPr="00825C2D">
              <w:rPr>
                <w:sz w:val="24"/>
                <w:szCs w:val="24"/>
              </w:rPr>
              <w:t>Таблиця</w:t>
            </w:r>
          </w:p>
          <w:tbl>
            <w:tblPr>
              <w:tblW w:w="5000" w:type="pct"/>
              <w:tblLayout w:type="fixed"/>
              <w:tblCellMar>
                <w:top w:w="12" w:type="dxa"/>
                <w:left w:w="12" w:type="dxa"/>
                <w:bottom w:w="12" w:type="dxa"/>
                <w:right w:w="12" w:type="dxa"/>
              </w:tblCellMar>
              <w:tblLook w:val="04A0" w:firstRow="1" w:lastRow="0" w:firstColumn="1" w:lastColumn="0" w:noHBand="0" w:noVBand="1"/>
            </w:tblPr>
            <w:tblGrid>
              <w:gridCol w:w="536"/>
              <w:gridCol w:w="3549"/>
              <w:gridCol w:w="2612"/>
            </w:tblGrid>
            <w:tr w:rsidR="00825C2D" w:rsidRPr="00825C2D" w14:paraId="3A1E24DC" w14:textId="77777777" w:rsidTr="0032435A">
              <w:tc>
                <w:tcPr>
                  <w:tcW w:w="400" w:type="pct"/>
                  <w:tcBorders>
                    <w:top w:val="single" w:sz="6" w:space="0" w:color="000000"/>
                    <w:left w:val="single" w:sz="6" w:space="0" w:color="000000"/>
                    <w:bottom w:val="single" w:sz="6" w:space="0" w:color="000000"/>
                    <w:right w:val="single" w:sz="6" w:space="0" w:color="000000"/>
                  </w:tcBorders>
                  <w:hideMark/>
                </w:tcPr>
                <w:p w14:paraId="3A425DE8" w14:textId="77777777" w:rsidR="00390303" w:rsidRPr="00825C2D" w:rsidRDefault="00390303" w:rsidP="00825C2D">
                  <w:pPr>
                    <w:spacing w:before="150" w:after="150"/>
                    <w:jc w:val="center"/>
                    <w:rPr>
                      <w:sz w:val="24"/>
                      <w:szCs w:val="24"/>
                    </w:rPr>
                  </w:pPr>
                  <w:r w:rsidRPr="00825C2D">
                    <w:rPr>
                      <w:sz w:val="24"/>
                      <w:szCs w:val="24"/>
                    </w:rPr>
                    <w:t>№ з/п</w:t>
                  </w:r>
                </w:p>
              </w:tc>
              <w:tc>
                <w:tcPr>
                  <w:tcW w:w="2650" w:type="pct"/>
                  <w:tcBorders>
                    <w:top w:val="single" w:sz="6" w:space="0" w:color="000000"/>
                    <w:left w:val="single" w:sz="6" w:space="0" w:color="000000"/>
                    <w:bottom w:val="single" w:sz="6" w:space="0" w:color="000000"/>
                    <w:right w:val="single" w:sz="6" w:space="0" w:color="000000"/>
                  </w:tcBorders>
                  <w:hideMark/>
                </w:tcPr>
                <w:p w14:paraId="1F196F97" w14:textId="77777777" w:rsidR="00390303" w:rsidRPr="00825C2D" w:rsidRDefault="00390303" w:rsidP="00825C2D">
                  <w:pPr>
                    <w:spacing w:before="150" w:after="150"/>
                    <w:jc w:val="center"/>
                    <w:rPr>
                      <w:sz w:val="24"/>
                      <w:szCs w:val="24"/>
                    </w:rPr>
                  </w:pPr>
                  <w:r w:rsidRPr="00825C2D">
                    <w:rPr>
                      <w:sz w:val="24"/>
                      <w:szCs w:val="24"/>
                    </w:rPr>
                    <w:t>Строк до закінчення дії угоди (договору) про залучення субординованого боргу</w:t>
                  </w:r>
                </w:p>
              </w:tc>
              <w:tc>
                <w:tcPr>
                  <w:tcW w:w="2970" w:type="dxa"/>
                  <w:tcBorders>
                    <w:top w:val="single" w:sz="6" w:space="0" w:color="000000"/>
                    <w:left w:val="single" w:sz="6" w:space="0" w:color="000000"/>
                    <w:bottom w:val="single" w:sz="6" w:space="0" w:color="000000"/>
                    <w:right w:val="single" w:sz="6" w:space="0" w:color="000000"/>
                  </w:tcBorders>
                  <w:hideMark/>
                </w:tcPr>
                <w:p w14:paraId="2DDAB352" w14:textId="77777777" w:rsidR="00390303" w:rsidRPr="00825C2D" w:rsidRDefault="00390303" w:rsidP="00825C2D">
                  <w:pPr>
                    <w:spacing w:before="150" w:after="150"/>
                    <w:jc w:val="center"/>
                    <w:rPr>
                      <w:sz w:val="24"/>
                      <w:szCs w:val="24"/>
                    </w:rPr>
                  </w:pPr>
                  <w:r w:rsidRPr="00825C2D">
                    <w:rPr>
                      <w:sz w:val="24"/>
                      <w:szCs w:val="24"/>
                    </w:rPr>
                    <w:t xml:space="preserve">Сума субординованого боргу, що </w:t>
                  </w:r>
                  <w:r w:rsidRPr="00825C2D">
                    <w:rPr>
                      <w:b/>
                      <w:sz w:val="24"/>
                      <w:szCs w:val="24"/>
                    </w:rPr>
                    <w:t xml:space="preserve">враховується  до складу </w:t>
                  </w:r>
                  <w:r w:rsidRPr="00825C2D">
                    <w:rPr>
                      <w:sz w:val="24"/>
                      <w:szCs w:val="24"/>
                    </w:rPr>
                    <w:t>РК</w:t>
                  </w:r>
                </w:p>
              </w:tc>
            </w:tr>
            <w:tr w:rsidR="00825C2D" w:rsidRPr="00825C2D" w14:paraId="745B1BB9" w14:textId="77777777" w:rsidTr="0032435A">
              <w:tc>
                <w:tcPr>
                  <w:tcW w:w="400" w:type="pct"/>
                  <w:tcBorders>
                    <w:top w:val="single" w:sz="6" w:space="0" w:color="000000"/>
                    <w:left w:val="single" w:sz="6" w:space="0" w:color="000000"/>
                    <w:bottom w:val="single" w:sz="6" w:space="0" w:color="000000"/>
                    <w:right w:val="single" w:sz="6" w:space="0" w:color="000000"/>
                  </w:tcBorders>
                  <w:hideMark/>
                </w:tcPr>
                <w:p w14:paraId="3178DE1F" w14:textId="77777777" w:rsidR="00390303" w:rsidRPr="00825C2D" w:rsidRDefault="00390303" w:rsidP="00825C2D">
                  <w:pPr>
                    <w:spacing w:before="150" w:after="150"/>
                    <w:jc w:val="center"/>
                    <w:rPr>
                      <w:sz w:val="24"/>
                      <w:szCs w:val="24"/>
                    </w:rPr>
                  </w:pPr>
                  <w:r w:rsidRPr="00825C2D">
                    <w:rPr>
                      <w:sz w:val="24"/>
                      <w:szCs w:val="24"/>
                    </w:rPr>
                    <w:t>1</w:t>
                  </w:r>
                </w:p>
              </w:tc>
              <w:tc>
                <w:tcPr>
                  <w:tcW w:w="2650" w:type="pct"/>
                  <w:tcBorders>
                    <w:top w:val="single" w:sz="6" w:space="0" w:color="000000"/>
                    <w:left w:val="single" w:sz="6" w:space="0" w:color="000000"/>
                    <w:bottom w:val="single" w:sz="6" w:space="0" w:color="000000"/>
                    <w:right w:val="single" w:sz="6" w:space="0" w:color="000000"/>
                  </w:tcBorders>
                  <w:hideMark/>
                </w:tcPr>
                <w:p w14:paraId="04EE08B5" w14:textId="77777777" w:rsidR="00390303" w:rsidRPr="00825C2D" w:rsidRDefault="00390303" w:rsidP="00825C2D">
                  <w:pPr>
                    <w:spacing w:before="150" w:after="150"/>
                    <w:jc w:val="center"/>
                    <w:rPr>
                      <w:sz w:val="24"/>
                      <w:szCs w:val="24"/>
                    </w:rPr>
                  </w:pPr>
                  <w:r w:rsidRPr="00825C2D">
                    <w:rPr>
                      <w:sz w:val="24"/>
                      <w:szCs w:val="24"/>
                    </w:rPr>
                    <w:t>2</w:t>
                  </w:r>
                </w:p>
              </w:tc>
              <w:tc>
                <w:tcPr>
                  <w:tcW w:w="2970" w:type="dxa"/>
                  <w:tcBorders>
                    <w:top w:val="single" w:sz="6" w:space="0" w:color="000000"/>
                    <w:left w:val="single" w:sz="6" w:space="0" w:color="000000"/>
                    <w:bottom w:val="single" w:sz="6" w:space="0" w:color="000000"/>
                    <w:right w:val="single" w:sz="6" w:space="0" w:color="000000"/>
                  </w:tcBorders>
                  <w:hideMark/>
                </w:tcPr>
                <w:p w14:paraId="3AD0B922" w14:textId="77777777" w:rsidR="00390303" w:rsidRPr="00825C2D" w:rsidRDefault="00390303" w:rsidP="00825C2D">
                  <w:pPr>
                    <w:spacing w:before="150" w:after="150"/>
                    <w:jc w:val="center"/>
                    <w:rPr>
                      <w:sz w:val="24"/>
                      <w:szCs w:val="24"/>
                    </w:rPr>
                  </w:pPr>
                  <w:r w:rsidRPr="00825C2D">
                    <w:rPr>
                      <w:sz w:val="24"/>
                      <w:szCs w:val="24"/>
                    </w:rPr>
                    <w:t>3</w:t>
                  </w:r>
                </w:p>
              </w:tc>
            </w:tr>
            <w:tr w:rsidR="00825C2D" w:rsidRPr="00825C2D" w14:paraId="5A49B723" w14:textId="77777777" w:rsidTr="0032435A">
              <w:tc>
                <w:tcPr>
                  <w:tcW w:w="400" w:type="pct"/>
                  <w:tcBorders>
                    <w:top w:val="single" w:sz="6" w:space="0" w:color="000000"/>
                    <w:left w:val="single" w:sz="6" w:space="0" w:color="000000"/>
                    <w:bottom w:val="single" w:sz="6" w:space="0" w:color="000000"/>
                    <w:right w:val="single" w:sz="6" w:space="0" w:color="000000"/>
                  </w:tcBorders>
                  <w:hideMark/>
                </w:tcPr>
                <w:p w14:paraId="66438842" w14:textId="77777777" w:rsidR="00390303" w:rsidRPr="00825C2D" w:rsidRDefault="00390303" w:rsidP="00390303">
                  <w:pPr>
                    <w:spacing w:before="150" w:after="150"/>
                    <w:rPr>
                      <w:sz w:val="24"/>
                      <w:szCs w:val="24"/>
                    </w:rPr>
                  </w:pPr>
                  <w:r w:rsidRPr="00825C2D">
                    <w:rPr>
                      <w:sz w:val="24"/>
                      <w:szCs w:val="24"/>
                    </w:rPr>
                    <w:t>1</w:t>
                  </w:r>
                </w:p>
              </w:tc>
              <w:tc>
                <w:tcPr>
                  <w:tcW w:w="2650" w:type="pct"/>
                  <w:tcBorders>
                    <w:top w:val="single" w:sz="6" w:space="0" w:color="000000"/>
                    <w:left w:val="single" w:sz="6" w:space="0" w:color="000000"/>
                    <w:bottom w:val="single" w:sz="6" w:space="0" w:color="000000"/>
                    <w:right w:val="single" w:sz="6" w:space="0" w:color="000000"/>
                  </w:tcBorders>
                  <w:hideMark/>
                </w:tcPr>
                <w:p w14:paraId="47CF3626" w14:textId="77777777" w:rsidR="00390303" w:rsidRPr="00825C2D" w:rsidRDefault="00390303" w:rsidP="00390303">
                  <w:pPr>
                    <w:spacing w:before="150" w:after="150"/>
                    <w:rPr>
                      <w:sz w:val="24"/>
                      <w:szCs w:val="24"/>
                    </w:rPr>
                  </w:pPr>
                  <w:r w:rsidRPr="00825C2D">
                    <w:rPr>
                      <w:sz w:val="24"/>
                      <w:szCs w:val="24"/>
                    </w:rPr>
                    <w:t>Більше чотирьох років</w:t>
                  </w:r>
                </w:p>
              </w:tc>
              <w:tc>
                <w:tcPr>
                  <w:tcW w:w="2970" w:type="dxa"/>
                  <w:tcBorders>
                    <w:top w:val="single" w:sz="6" w:space="0" w:color="000000"/>
                    <w:left w:val="single" w:sz="6" w:space="0" w:color="000000"/>
                    <w:bottom w:val="single" w:sz="6" w:space="0" w:color="000000"/>
                    <w:right w:val="single" w:sz="6" w:space="0" w:color="000000"/>
                  </w:tcBorders>
                  <w:hideMark/>
                </w:tcPr>
                <w:p w14:paraId="735D3867" w14:textId="77777777" w:rsidR="00390303" w:rsidRPr="00825C2D" w:rsidRDefault="00390303" w:rsidP="00390303">
                  <w:pPr>
                    <w:spacing w:before="150" w:after="150"/>
                    <w:rPr>
                      <w:sz w:val="24"/>
                      <w:szCs w:val="24"/>
                    </w:rPr>
                  </w:pPr>
                  <w:r w:rsidRPr="00825C2D">
                    <w:rPr>
                      <w:sz w:val="24"/>
                      <w:szCs w:val="24"/>
                    </w:rPr>
                    <w:t>100</w:t>
                  </w:r>
                </w:p>
              </w:tc>
            </w:tr>
            <w:tr w:rsidR="00825C2D" w:rsidRPr="00825C2D" w14:paraId="02547B9C" w14:textId="77777777" w:rsidTr="0032435A">
              <w:tc>
                <w:tcPr>
                  <w:tcW w:w="400" w:type="pct"/>
                  <w:tcBorders>
                    <w:top w:val="single" w:sz="6" w:space="0" w:color="000000"/>
                    <w:left w:val="single" w:sz="6" w:space="0" w:color="000000"/>
                    <w:bottom w:val="single" w:sz="6" w:space="0" w:color="000000"/>
                    <w:right w:val="single" w:sz="6" w:space="0" w:color="000000"/>
                  </w:tcBorders>
                  <w:hideMark/>
                </w:tcPr>
                <w:p w14:paraId="59038CF5" w14:textId="77777777" w:rsidR="00390303" w:rsidRPr="00825C2D" w:rsidRDefault="00390303" w:rsidP="00390303">
                  <w:pPr>
                    <w:spacing w:before="150" w:after="150"/>
                    <w:rPr>
                      <w:sz w:val="24"/>
                      <w:szCs w:val="24"/>
                    </w:rPr>
                  </w:pPr>
                  <w:r w:rsidRPr="00825C2D">
                    <w:rPr>
                      <w:sz w:val="24"/>
                      <w:szCs w:val="24"/>
                    </w:rPr>
                    <w:t>2</w:t>
                  </w:r>
                </w:p>
              </w:tc>
              <w:tc>
                <w:tcPr>
                  <w:tcW w:w="2650" w:type="pct"/>
                  <w:tcBorders>
                    <w:top w:val="single" w:sz="6" w:space="0" w:color="000000"/>
                    <w:left w:val="single" w:sz="6" w:space="0" w:color="000000"/>
                    <w:bottom w:val="single" w:sz="6" w:space="0" w:color="000000"/>
                    <w:right w:val="single" w:sz="6" w:space="0" w:color="000000"/>
                  </w:tcBorders>
                  <w:hideMark/>
                </w:tcPr>
                <w:p w14:paraId="78438BA3" w14:textId="77777777" w:rsidR="00390303" w:rsidRPr="00825C2D" w:rsidRDefault="00390303" w:rsidP="00390303">
                  <w:pPr>
                    <w:spacing w:before="150" w:after="150"/>
                    <w:rPr>
                      <w:sz w:val="24"/>
                      <w:szCs w:val="24"/>
                    </w:rPr>
                  </w:pPr>
                  <w:r w:rsidRPr="00825C2D">
                    <w:rPr>
                      <w:sz w:val="24"/>
                      <w:szCs w:val="24"/>
                    </w:rPr>
                    <w:t>Від чотирьох до трьох років</w:t>
                  </w:r>
                </w:p>
              </w:tc>
              <w:tc>
                <w:tcPr>
                  <w:tcW w:w="2970" w:type="dxa"/>
                  <w:tcBorders>
                    <w:top w:val="single" w:sz="6" w:space="0" w:color="000000"/>
                    <w:left w:val="single" w:sz="6" w:space="0" w:color="000000"/>
                    <w:bottom w:val="single" w:sz="6" w:space="0" w:color="000000"/>
                    <w:right w:val="single" w:sz="6" w:space="0" w:color="000000"/>
                  </w:tcBorders>
                  <w:hideMark/>
                </w:tcPr>
                <w:p w14:paraId="5250D6FD" w14:textId="77777777" w:rsidR="00390303" w:rsidRPr="00825C2D" w:rsidRDefault="00390303" w:rsidP="00390303">
                  <w:pPr>
                    <w:spacing w:before="150" w:after="150"/>
                    <w:rPr>
                      <w:sz w:val="24"/>
                      <w:szCs w:val="24"/>
                    </w:rPr>
                  </w:pPr>
                  <w:r w:rsidRPr="00825C2D">
                    <w:rPr>
                      <w:sz w:val="24"/>
                      <w:szCs w:val="24"/>
                    </w:rPr>
                    <w:t>80</w:t>
                  </w:r>
                </w:p>
              </w:tc>
            </w:tr>
            <w:tr w:rsidR="00825C2D" w:rsidRPr="00825C2D" w14:paraId="0373F87E" w14:textId="77777777" w:rsidTr="0032435A">
              <w:tc>
                <w:tcPr>
                  <w:tcW w:w="400" w:type="pct"/>
                  <w:tcBorders>
                    <w:top w:val="single" w:sz="6" w:space="0" w:color="000000"/>
                    <w:left w:val="single" w:sz="6" w:space="0" w:color="000000"/>
                    <w:bottom w:val="single" w:sz="6" w:space="0" w:color="000000"/>
                    <w:right w:val="single" w:sz="6" w:space="0" w:color="000000"/>
                  </w:tcBorders>
                  <w:hideMark/>
                </w:tcPr>
                <w:p w14:paraId="7E16BF06" w14:textId="77777777" w:rsidR="00390303" w:rsidRPr="00825C2D" w:rsidRDefault="00390303" w:rsidP="00390303">
                  <w:pPr>
                    <w:spacing w:before="150" w:after="150"/>
                    <w:rPr>
                      <w:sz w:val="24"/>
                      <w:szCs w:val="24"/>
                    </w:rPr>
                  </w:pPr>
                  <w:r w:rsidRPr="00825C2D">
                    <w:rPr>
                      <w:sz w:val="24"/>
                      <w:szCs w:val="24"/>
                    </w:rPr>
                    <w:t>3</w:t>
                  </w:r>
                </w:p>
              </w:tc>
              <w:tc>
                <w:tcPr>
                  <w:tcW w:w="2650" w:type="pct"/>
                  <w:tcBorders>
                    <w:top w:val="single" w:sz="6" w:space="0" w:color="000000"/>
                    <w:left w:val="single" w:sz="6" w:space="0" w:color="000000"/>
                    <w:bottom w:val="single" w:sz="6" w:space="0" w:color="000000"/>
                    <w:right w:val="single" w:sz="6" w:space="0" w:color="000000"/>
                  </w:tcBorders>
                  <w:hideMark/>
                </w:tcPr>
                <w:p w14:paraId="49AB4197" w14:textId="77777777" w:rsidR="00390303" w:rsidRPr="00825C2D" w:rsidRDefault="00390303" w:rsidP="00390303">
                  <w:pPr>
                    <w:spacing w:before="150" w:after="150"/>
                    <w:rPr>
                      <w:sz w:val="24"/>
                      <w:szCs w:val="24"/>
                    </w:rPr>
                  </w:pPr>
                  <w:r w:rsidRPr="00825C2D">
                    <w:rPr>
                      <w:sz w:val="24"/>
                      <w:szCs w:val="24"/>
                    </w:rPr>
                    <w:t>Від трьох до двох років</w:t>
                  </w:r>
                </w:p>
              </w:tc>
              <w:tc>
                <w:tcPr>
                  <w:tcW w:w="2970" w:type="dxa"/>
                  <w:tcBorders>
                    <w:top w:val="single" w:sz="6" w:space="0" w:color="000000"/>
                    <w:left w:val="single" w:sz="6" w:space="0" w:color="000000"/>
                    <w:bottom w:val="single" w:sz="6" w:space="0" w:color="000000"/>
                    <w:right w:val="single" w:sz="6" w:space="0" w:color="000000"/>
                  </w:tcBorders>
                  <w:hideMark/>
                </w:tcPr>
                <w:p w14:paraId="4A002ABA" w14:textId="77777777" w:rsidR="00390303" w:rsidRPr="00825C2D" w:rsidRDefault="00390303" w:rsidP="00390303">
                  <w:pPr>
                    <w:spacing w:before="150" w:after="150"/>
                    <w:rPr>
                      <w:sz w:val="24"/>
                      <w:szCs w:val="24"/>
                    </w:rPr>
                  </w:pPr>
                  <w:r w:rsidRPr="00825C2D">
                    <w:rPr>
                      <w:sz w:val="24"/>
                      <w:szCs w:val="24"/>
                    </w:rPr>
                    <w:t>60</w:t>
                  </w:r>
                </w:p>
              </w:tc>
            </w:tr>
            <w:tr w:rsidR="00825C2D" w:rsidRPr="00825C2D" w14:paraId="134AFF09" w14:textId="77777777" w:rsidTr="0032435A">
              <w:tc>
                <w:tcPr>
                  <w:tcW w:w="400" w:type="pct"/>
                  <w:tcBorders>
                    <w:top w:val="single" w:sz="6" w:space="0" w:color="000000"/>
                    <w:left w:val="single" w:sz="6" w:space="0" w:color="000000"/>
                    <w:bottom w:val="single" w:sz="6" w:space="0" w:color="000000"/>
                    <w:right w:val="single" w:sz="6" w:space="0" w:color="000000"/>
                  </w:tcBorders>
                  <w:hideMark/>
                </w:tcPr>
                <w:p w14:paraId="1310A1DD" w14:textId="77777777" w:rsidR="00390303" w:rsidRPr="00825C2D" w:rsidRDefault="00390303" w:rsidP="00390303">
                  <w:pPr>
                    <w:spacing w:before="150" w:after="150"/>
                    <w:rPr>
                      <w:sz w:val="24"/>
                      <w:szCs w:val="24"/>
                    </w:rPr>
                  </w:pPr>
                  <w:r w:rsidRPr="00825C2D">
                    <w:rPr>
                      <w:sz w:val="24"/>
                      <w:szCs w:val="24"/>
                    </w:rPr>
                    <w:t>4</w:t>
                  </w:r>
                </w:p>
              </w:tc>
              <w:tc>
                <w:tcPr>
                  <w:tcW w:w="2650" w:type="pct"/>
                  <w:tcBorders>
                    <w:top w:val="single" w:sz="6" w:space="0" w:color="000000"/>
                    <w:left w:val="single" w:sz="6" w:space="0" w:color="000000"/>
                    <w:bottom w:val="single" w:sz="6" w:space="0" w:color="000000"/>
                    <w:right w:val="single" w:sz="6" w:space="0" w:color="000000"/>
                  </w:tcBorders>
                  <w:hideMark/>
                </w:tcPr>
                <w:p w14:paraId="001E5595" w14:textId="77777777" w:rsidR="00390303" w:rsidRPr="00825C2D" w:rsidRDefault="00390303" w:rsidP="00390303">
                  <w:pPr>
                    <w:spacing w:before="150" w:after="150"/>
                    <w:rPr>
                      <w:sz w:val="24"/>
                      <w:szCs w:val="24"/>
                    </w:rPr>
                  </w:pPr>
                  <w:r w:rsidRPr="00825C2D">
                    <w:rPr>
                      <w:sz w:val="24"/>
                      <w:szCs w:val="24"/>
                    </w:rPr>
                    <w:t>Від двох до одного року</w:t>
                  </w:r>
                </w:p>
              </w:tc>
              <w:tc>
                <w:tcPr>
                  <w:tcW w:w="2970" w:type="dxa"/>
                  <w:tcBorders>
                    <w:top w:val="single" w:sz="6" w:space="0" w:color="000000"/>
                    <w:left w:val="single" w:sz="6" w:space="0" w:color="000000"/>
                    <w:bottom w:val="single" w:sz="6" w:space="0" w:color="000000"/>
                    <w:right w:val="single" w:sz="6" w:space="0" w:color="000000"/>
                  </w:tcBorders>
                  <w:hideMark/>
                </w:tcPr>
                <w:p w14:paraId="26C5F4BF" w14:textId="77777777" w:rsidR="00390303" w:rsidRPr="00825C2D" w:rsidRDefault="00390303" w:rsidP="00390303">
                  <w:pPr>
                    <w:spacing w:before="150" w:after="150"/>
                    <w:rPr>
                      <w:sz w:val="24"/>
                      <w:szCs w:val="24"/>
                    </w:rPr>
                  </w:pPr>
                  <w:r w:rsidRPr="00825C2D">
                    <w:rPr>
                      <w:sz w:val="24"/>
                      <w:szCs w:val="24"/>
                    </w:rPr>
                    <w:t>40</w:t>
                  </w:r>
                </w:p>
              </w:tc>
            </w:tr>
            <w:tr w:rsidR="00825C2D" w:rsidRPr="00825C2D" w14:paraId="57B29E46" w14:textId="77777777" w:rsidTr="0032435A">
              <w:tc>
                <w:tcPr>
                  <w:tcW w:w="400" w:type="pct"/>
                  <w:tcBorders>
                    <w:top w:val="single" w:sz="6" w:space="0" w:color="000000"/>
                    <w:left w:val="single" w:sz="6" w:space="0" w:color="000000"/>
                    <w:bottom w:val="single" w:sz="6" w:space="0" w:color="000000"/>
                    <w:right w:val="single" w:sz="6" w:space="0" w:color="000000"/>
                  </w:tcBorders>
                  <w:hideMark/>
                </w:tcPr>
                <w:p w14:paraId="3F26AE3F" w14:textId="77777777" w:rsidR="00390303" w:rsidRPr="00825C2D" w:rsidRDefault="00390303" w:rsidP="00390303">
                  <w:pPr>
                    <w:spacing w:before="150" w:after="150"/>
                    <w:rPr>
                      <w:sz w:val="24"/>
                      <w:szCs w:val="24"/>
                    </w:rPr>
                  </w:pPr>
                  <w:r w:rsidRPr="00825C2D">
                    <w:rPr>
                      <w:sz w:val="24"/>
                      <w:szCs w:val="24"/>
                    </w:rPr>
                    <w:t>5</w:t>
                  </w:r>
                </w:p>
              </w:tc>
              <w:tc>
                <w:tcPr>
                  <w:tcW w:w="2650" w:type="pct"/>
                  <w:tcBorders>
                    <w:top w:val="single" w:sz="6" w:space="0" w:color="000000"/>
                    <w:left w:val="single" w:sz="6" w:space="0" w:color="000000"/>
                    <w:bottom w:val="single" w:sz="6" w:space="0" w:color="000000"/>
                    <w:right w:val="single" w:sz="6" w:space="0" w:color="000000"/>
                  </w:tcBorders>
                  <w:hideMark/>
                </w:tcPr>
                <w:p w14:paraId="49F786A5" w14:textId="77777777" w:rsidR="00390303" w:rsidRPr="00825C2D" w:rsidRDefault="00390303" w:rsidP="00390303">
                  <w:pPr>
                    <w:spacing w:before="150" w:after="150"/>
                    <w:rPr>
                      <w:sz w:val="24"/>
                      <w:szCs w:val="24"/>
                    </w:rPr>
                  </w:pPr>
                  <w:r w:rsidRPr="00825C2D">
                    <w:rPr>
                      <w:sz w:val="24"/>
                      <w:szCs w:val="24"/>
                    </w:rPr>
                    <w:t>Менше одного року</w:t>
                  </w:r>
                </w:p>
              </w:tc>
              <w:tc>
                <w:tcPr>
                  <w:tcW w:w="2970" w:type="dxa"/>
                  <w:tcBorders>
                    <w:top w:val="single" w:sz="6" w:space="0" w:color="000000"/>
                    <w:left w:val="single" w:sz="6" w:space="0" w:color="000000"/>
                    <w:bottom w:val="single" w:sz="6" w:space="0" w:color="000000"/>
                    <w:right w:val="single" w:sz="6" w:space="0" w:color="000000"/>
                  </w:tcBorders>
                  <w:hideMark/>
                </w:tcPr>
                <w:p w14:paraId="37F54707" w14:textId="77777777" w:rsidR="00390303" w:rsidRPr="00825C2D" w:rsidRDefault="00390303" w:rsidP="00390303">
                  <w:pPr>
                    <w:spacing w:before="150" w:after="150"/>
                    <w:rPr>
                      <w:sz w:val="24"/>
                      <w:szCs w:val="24"/>
                    </w:rPr>
                  </w:pPr>
                  <w:r w:rsidRPr="00825C2D">
                    <w:rPr>
                      <w:sz w:val="24"/>
                      <w:szCs w:val="24"/>
                    </w:rPr>
                    <w:t>20</w:t>
                  </w:r>
                </w:p>
              </w:tc>
            </w:tr>
          </w:tbl>
          <w:p w14:paraId="7A6ECF40" w14:textId="77777777" w:rsidR="00390303" w:rsidRPr="00825C2D" w:rsidRDefault="00390303" w:rsidP="00390303">
            <w:pPr>
              <w:pStyle w:val="a4"/>
              <w:spacing w:before="0" w:beforeAutospacing="0" w:after="0" w:afterAutospacing="0"/>
              <w:ind w:firstLine="318"/>
              <w:jc w:val="both"/>
              <w:rPr>
                <w:shd w:val="clear" w:color="auto" w:fill="FFFFFF"/>
              </w:rPr>
            </w:pPr>
          </w:p>
          <w:p w14:paraId="0811B2B4" w14:textId="77777777" w:rsidR="00390303" w:rsidRPr="00825C2D" w:rsidRDefault="00390303" w:rsidP="00390303">
            <w:pPr>
              <w:shd w:val="clear" w:color="auto" w:fill="FFFFFF"/>
              <w:spacing w:after="150"/>
              <w:ind w:firstLine="450"/>
              <w:rPr>
                <w:sz w:val="24"/>
                <w:szCs w:val="24"/>
              </w:rPr>
            </w:pPr>
            <w:r w:rsidRPr="00825C2D">
              <w:rPr>
                <w:sz w:val="24"/>
                <w:szCs w:val="24"/>
              </w:rPr>
              <w:t>1. Приклад № 1.</w:t>
            </w:r>
          </w:p>
          <w:p w14:paraId="2A015EF6" w14:textId="77777777" w:rsidR="00390303" w:rsidRPr="00825C2D" w:rsidRDefault="00390303" w:rsidP="00390303">
            <w:pPr>
              <w:shd w:val="clear" w:color="auto" w:fill="FFFFFF"/>
              <w:spacing w:after="150"/>
              <w:ind w:firstLine="450"/>
              <w:rPr>
                <w:sz w:val="24"/>
                <w:szCs w:val="24"/>
              </w:rPr>
            </w:pPr>
            <w:r w:rsidRPr="00825C2D">
              <w:rPr>
                <w:sz w:val="24"/>
                <w:szCs w:val="24"/>
              </w:rPr>
              <w:lastRenderedPageBreak/>
              <w:t>Строк, на який небанківський гарант залучив кошти на умовах субординованого боргу, становить сім років (з 01 лютого 2020 року до 31 січня 2027 року).</w:t>
            </w:r>
          </w:p>
          <w:p w14:paraId="11A4C65B" w14:textId="77777777" w:rsidR="00390303" w:rsidRPr="00825C2D" w:rsidRDefault="00390303" w:rsidP="00390303">
            <w:pPr>
              <w:shd w:val="clear" w:color="auto" w:fill="FFFFFF"/>
              <w:spacing w:after="150"/>
              <w:ind w:firstLine="450"/>
              <w:rPr>
                <w:sz w:val="24"/>
                <w:szCs w:val="24"/>
              </w:rPr>
            </w:pPr>
            <w:r w:rsidRPr="00825C2D">
              <w:rPr>
                <w:sz w:val="24"/>
                <w:szCs w:val="24"/>
              </w:rPr>
              <w:t>Сума залучених коштів на умовах субординованого боргу, на яку отримано дозвіл, дорівнює 600000 грн.</w:t>
            </w:r>
          </w:p>
          <w:p w14:paraId="795A535E" w14:textId="77777777" w:rsidR="00390303" w:rsidRPr="00825C2D" w:rsidRDefault="00390303" w:rsidP="00390303">
            <w:pPr>
              <w:shd w:val="clear" w:color="auto" w:fill="FFFFFF"/>
              <w:spacing w:after="150"/>
              <w:ind w:firstLine="450"/>
              <w:rPr>
                <w:sz w:val="24"/>
                <w:szCs w:val="24"/>
              </w:rPr>
            </w:pPr>
            <w:r w:rsidRPr="00825C2D">
              <w:rPr>
                <w:sz w:val="24"/>
                <w:szCs w:val="24"/>
              </w:rPr>
              <w:t xml:space="preserve">Розрахунок суми субординованого боргу, що </w:t>
            </w:r>
            <w:r w:rsidRPr="00825C2D">
              <w:rPr>
                <w:b/>
                <w:sz w:val="24"/>
                <w:szCs w:val="24"/>
              </w:rPr>
              <w:t xml:space="preserve">враховується </w:t>
            </w:r>
            <w:r w:rsidRPr="00825C2D">
              <w:rPr>
                <w:sz w:val="24"/>
                <w:szCs w:val="24"/>
              </w:rPr>
              <w:t xml:space="preserve"> </w:t>
            </w:r>
            <w:r w:rsidRPr="00825C2D">
              <w:rPr>
                <w:b/>
                <w:sz w:val="24"/>
                <w:szCs w:val="24"/>
              </w:rPr>
              <w:t>до складу</w:t>
            </w:r>
            <w:r w:rsidRPr="00825C2D">
              <w:rPr>
                <w:sz w:val="24"/>
                <w:szCs w:val="24"/>
              </w:rPr>
              <w:t xml:space="preserve"> РК, здійснюється так:</w:t>
            </w:r>
          </w:p>
          <w:p w14:paraId="193D33D6" w14:textId="77777777" w:rsidR="00390303" w:rsidRPr="00825C2D" w:rsidRDefault="00390303" w:rsidP="00390303">
            <w:pPr>
              <w:shd w:val="clear" w:color="auto" w:fill="FFFFFF"/>
              <w:spacing w:after="150"/>
              <w:ind w:firstLine="450"/>
              <w:rPr>
                <w:sz w:val="24"/>
                <w:szCs w:val="24"/>
              </w:rPr>
            </w:pPr>
            <w:r w:rsidRPr="00825C2D">
              <w:rPr>
                <w:sz w:val="24"/>
                <w:szCs w:val="24"/>
              </w:rPr>
              <w:t>1) з 01 лютого 2020 року до 31 січня 2023 року - 100%, або 600000 грн;</w:t>
            </w:r>
          </w:p>
          <w:p w14:paraId="5BFA67CA" w14:textId="77777777" w:rsidR="00390303" w:rsidRPr="00825C2D" w:rsidRDefault="00390303" w:rsidP="00390303">
            <w:pPr>
              <w:shd w:val="clear" w:color="auto" w:fill="FFFFFF"/>
              <w:spacing w:after="150"/>
              <w:ind w:firstLine="450"/>
              <w:rPr>
                <w:sz w:val="24"/>
                <w:szCs w:val="24"/>
              </w:rPr>
            </w:pPr>
            <w:r w:rsidRPr="00825C2D">
              <w:rPr>
                <w:sz w:val="24"/>
                <w:szCs w:val="24"/>
              </w:rPr>
              <w:t>2) з 01 лютого 2023 року до 31 січня 2024 року - 80%, або 480000 грн;</w:t>
            </w:r>
          </w:p>
          <w:p w14:paraId="306CA26D" w14:textId="77777777" w:rsidR="00390303" w:rsidRPr="00825C2D" w:rsidRDefault="00390303" w:rsidP="00390303">
            <w:pPr>
              <w:shd w:val="clear" w:color="auto" w:fill="FFFFFF"/>
              <w:spacing w:after="150"/>
              <w:ind w:firstLine="450"/>
              <w:rPr>
                <w:sz w:val="24"/>
                <w:szCs w:val="24"/>
              </w:rPr>
            </w:pPr>
            <w:r w:rsidRPr="00825C2D">
              <w:rPr>
                <w:sz w:val="24"/>
                <w:szCs w:val="24"/>
              </w:rPr>
              <w:t>3) з 01 лютого 2024 року до 31 січня 2025 року - 60%, або 360000 грн;</w:t>
            </w:r>
          </w:p>
          <w:p w14:paraId="529FF49B" w14:textId="77777777" w:rsidR="00390303" w:rsidRPr="00825C2D" w:rsidRDefault="00390303" w:rsidP="00390303">
            <w:pPr>
              <w:shd w:val="clear" w:color="auto" w:fill="FFFFFF"/>
              <w:spacing w:after="150"/>
              <w:ind w:firstLine="450"/>
              <w:rPr>
                <w:sz w:val="24"/>
                <w:szCs w:val="24"/>
              </w:rPr>
            </w:pPr>
            <w:r w:rsidRPr="00825C2D">
              <w:rPr>
                <w:sz w:val="24"/>
                <w:szCs w:val="24"/>
              </w:rPr>
              <w:t>4) з 01 лютого 2025 року до 31 січня 2026 року - 40%, або 240000 грн;</w:t>
            </w:r>
          </w:p>
          <w:p w14:paraId="5D77C34F" w14:textId="77777777" w:rsidR="00390303" w:rsidRPr="00825C2D" w:rsidRDefault="00390303" w:rsidP="00390303">
            <w:pPr>
              <w:shd w:val="clear" w:color="auto" w:fill="FFFFFF"/>
              <w:spacing w:after="150"/>
              <w:ind w:firstLine="450"/>
              <w:rPr>
                <w:sz w:val="24"/>
                <w:szCs w:val="24"/>
              </w:rPr>
            </w:pPr>
            <w:r w:rsidRPr="00825C2D">
              <w:rPr>
                <w:sz w:val="24"/>
                <w:szCs w:val="24"/>
              </w:rPr>
              <w:t>5) з 01 лютого 2026 року до 31 січня 2027 року - 20%, або 120000 грн.</w:t>
            </w:r>
          </w:p>
          <w:p w14:paraId="568CA835" w14:textId="77777777" w:rsidR="00390303" w:rsidRPr="00825C2D" w:rsidRDefault="00390303" w:rsidP="00390303">
            <w:pPr>
              <w:shd w:val="clear" w:color="auto" w:fill="FFFFFF"/>
              <w:spacing w:after="150"/>
              <w:ind w:firstLine="450"/>
              <w:rPr>
                <w:sz w:val="24"/>
                <w:szCs w:val="24"/>
              </w:rPr>
            </w:pPr>
            <w:r w:rsidRPr="00825C2D">
              <w:rPr>
                <w:sz w:val="24"/>
                <w:szCs w:val="24"/>
              </w:rPr>
              <w:t>2. Приклад № 2.</w:t>
            </w:r>
          </w:p>
          <w:p w14:paraId="6D1DD26B" w14:textId="77777777" w:rsidR="00390303" w:rsidRPr="00825C2D" w:rsidRDefault="00390303" w:rsidP="00390303">
            <w:pPr>
              <w:shd w:val="clear" w:color="auto" w:fill="FFFFFF"/>
              <w:spacing w:after="150"/>
              <w:ind w:firstLine="450"/>
              <w:rPr>
                <w:sz w:val="24"/>
                <w:szCs w:val="24"/>
              </w:rPr>
            </w:pPr>
            <w:r w:rsidRPr="00825C2D">
              <w:rPr>
                <w:sz w:val="24"/>
                <w:szCs w:val="24"/>
              </w:rPr>
              <w:t>Строк, на який небанківський гарант залучив кошти на умовах субординованого боргу, становить сім років (з 01 лютого 2020 року до 31 січня 2027 року).</w:t>
            </w:r>
          </w:p>
          <w:p w14:paraId="2C1E328E" w14:textId="77777777" w:rsidR="00390303" w:rsidRPr="00825C2D" w:rsidRDefault="00390303" w:rsidP="00390303">
            <w:pPr>
              <w:shd w:val="clear" w:color="auto" w:fill="FFFFFF"/>
              <w:spacing w:after="150"/>
              <w:ind w:firstLine="450"/>
              <w:rPr>
                <w:sz w:val="24"/>
                <w:szCs w:val="24"/>
              </w:rPr>
            </w:pPr>
            <w:r w:rsidRPr="00825C2D">
              <w:rPr>
                <w:sz w:val="24"/>
                <w:szCs w:val="24"/>
              </w:rPr>
              <w:t xml:space="preserve">Сума залучених коштів на умовах субординованого боргу, на яку отримано дозвіл, дорівнює 600000 грн, водночас </w:t>
            </w:r>
            <w:r w:rsidRPr="00825C2D">
              <w:rPr>
                <w:sz w:val="24"/>
                <w:szCs w:val="24"/>
              </w:rPr>
              <w:lastRenderedPageBreak/>
              <w:t>небанківський гарант 01 липня 2023 року здійснив дострокове погашення субординованого боргу на суму 100000 грн.</w:t>
            </w:r>
          </w:p>
          <w:p w14:paraId="1D8649C7" w14:textId="77777777" w:rsidR="00390303" w:rsidRPr="00825C2D" w:rsidRDefault="00390303" w:rsidP="00390303">
            <w:pPr>
              <w:shd w:val="clear" w:color="auto" w:fill="FFFFFF"/>
              <w:spacing w:after="150"/>
              <w:ind w:firstLine="450"/>
              <w:rPr>
                <w:sz w:val="24"/>
                <w:szCs w:val="24"/>
              </w:rPr>
            </w:pPr>
            <w:r w:rsidRPr="00825C2D">
              <w:rPr>
                <w:sz w:val="24"/>
                <w:szCs w:val="24"/>
              </w:rPr>
              <w:t xml:space="preserve">Розрахунок суми субординованого боргу, що </w:t>
            </w:r>
            <w:r w:rsidRPr="00825C2D">
              <w:rPr>
                <w:b/>
                <w:sz w:val="24"/>
                <w:szCs w:val="24"/>
              </w:rPr>
              <w:t xml:space="preserve">враховується до складу </w:t>
            </w:r>
            <w:r w:rsidRPr="00825C2D">
              <w:rPr>
                <w:sz w:val="24"/>
                <w:szCs w:val="24"/>
              </w:rPr>
              <w:t>РК з урахуванням достроково погашеної суми субординованого боргу, здійснюється так:</w:t>
            </w:r>
          </w:p>
          <w:p w14:paraId="43C9291D" w14:textId="77777777" w:rsidR="00390303" w:rsidRPr="00825C2D" w:rsidRDefault="00390303" w:rsidP="00390303">
            <w:pPr>
              <w:shd w:val="clear" w:color="auto" w:fill="FFFFFF"/>
              <w:spacing w:after="150"/>
              <w:ind w:firstLine="450"/>
              <w:rPr>
                <w:sz w:val="24"/>
                <w:szCs w:val="24"/>
              </w:rPr>
            </w:pPr>
            <w:r w:rsidRPr="00825C2D">
              <w:rPr>
                <w:sz w:val="24"/>
                <w:szCs w:val="24"/>
              </w:rPr>
              <w:t>1) з 01 лютого 2020 року до 31 січня 2023 року - 100%, або 600000 грн;</w:t>
            </w:r>
          </w:p>
          <w:p w14:paraId="173B24DD" w14:textId="77777777" w:rsidR="00390303" w:rsidRPr="00825C2D" w:rsidRDefault="00390303" w:rsidP="00390303">
            <w:pPr>
              <w:shd w:val="clear" w:color="auto" w:fill="FFFFFF"/>
              <w:spacing w:after="150"/>
              <w:ind w:firstLine="450"/>
              <w:rPr>
                <w:sz w:val="24"/>
                <w:szCs w:val="24"/>
              </w:rPr>
            </w:pPr>
            <w:r w:rsidRPr="00825C2D">
              <w:rPr>
                <w:sz w:val="24"/>
                <w:szCs w:val="24"/>
              </w:rPr>
              <w:t>2) з 01 лютого 2023 року до 30 червня 2023 року - 80%, або 480000 грн;</w:t>
            </w:r>
          </w:p>
          <w:p w14:paraId="5301F844" w14:textId="77777777" w:rsidR="00390303" w:rsidRPr="00825C2D" w:rsidRDefault="00390303" w:rsidP="00390303">
            <w:pPr>
              <w:shd w:val="clear" w:color="auto" w:fill="FFFFFF"/>
              <w:spacing w:after="150"/>
              <w:ind w:firstLine="450"/>
              <w:rPr>
                <w:sz w:val="24"/>
                <w:szCs w:val="24"/>
              </w:rPr>
            </w:pPr>
            <w:r w:rsidRPr="00825C2D">
              <w:rPr>
                <w:sz w:val="24"/>
                <w:szCs w:val="24"/>
              </w:rPr>
              <w:t>3) з 01 липня 2023 року до 31 січня 2024 року - 80%, або 400000 грн</w:t>
            </w:r>
          </w:p>
          <w:p w14:paraId="0D9E3B92" w14:textId="77777777" w:rsidR="00390303" w:rsidRPr="00825C2D" w:rsidRDefault="00390303" w:rsidP="00390303">
            <w:pPr>
              <w:shd w:val="clear" w:color="auto" w:fill="FFFFFF"/>
              <w:spacing w:after="150"/>
              <w:ind w:firstLine="450"/>
              <w:rPr>
                <w:sz w:val="24"/>
                <w:szCs w:val="24"/>
              </w:rPr>
            </w:pPr>
            <w:r w:rsidRPr="00825C2D">
              <w:rPr>
                <w:sz w:val="24"/>
                <w:szCs w:val="24"/>
              </w:rPr>
              <w:t>4) з 01 лютого 2024 року до 31 січня 2025 року - 60%, або 300000 грн;</w:t>
            </w:r>
          </w:p>
          <w:p w14:paraId="0A6014FA" w14:textId="77777777" w:rsidR="00390303" w:rsidRPr="00825C2D" w:rsidRDefault="00390303" w:rsidP="00390303">
            <w:pPr>
              <w:shd w:val="clear" w:color="auto" w:fill="FFFFFF"/>
              <w:spacing w:after="150"/>
              <w:ind w:firstLine="450"/>
              <w:rPr>
                <w:sz w:val="24"/>
                <w:szCs w:val="24"/>
              </w:rPr>
            </w:pPr>
            <w:r w:rsidRPr="00825C2D">
              <w:rPr>
                <w:sz w:val="24"/>
                <w:szCs w:val="24"/>
              </w:rPr>
              <w:t>5) з 01 лютого2025 року до 31 січня 2026 року - 40%, або 200000 грн;</w:t>
            </w:r>
          </w:p>
          <w:p w14:paraId="2311727E" w14:textId="77777777" w:rsidR="00390303" w:rsidRPr="00825C2D" w:rsidRDefault="00390303" w:rsidP="00390303">
            <w:pPr>
              <w:shd w:val="clear" w:color="auto" w:fill="FFFFFF"/>
              <w:spacing w:after="150"/>
              <w:ind w:firstLine="450"/>
              <w:rPr>
                <w:sz w:val="24"/>
                <w:szCs w:val="24"/>
              </w:rPr>
            </w:pPr>
            <w:r w:rsidRPr="00825C2D">
              <w:rPr>
                <w:sz w:val="24"/>
                <w:szCs w:val="24"/>
              </w:rPr>
              <w:t>6) з 01 лютого 2026 року до 31 січня 2027 року - 20%, або 100000 грн.</w:t>
            </w:r>
          </w:p>
        </w:tc>
      </w:tr>
      <w:tr w:rsidR="00825C2D" w:rsidRPr="00825C2D" w14:paraId="47A1EB47" w14:textId="77777777" w:rsidTr="000B7424">
        <w:trPr>
          <w:trHeight w:val="20"/>
        </w:trPr>
        <w:tc>
          <w:tcPr>
            <w:tcW w:w="704" w:type="dxa"/>
          </w:tcPr>
          <w:p w14:paraId="230D6C6D" w14:textId="77777777" w:rsidR="00390303" w:rsidRPr="00825C2D" w:rsidRDefault="00390303" w:rsidP="00390303">
            <w:pPr>
              <w:pStyle w:val="a4"/>
              <w:widowControl w:val="0"/>
              <w:numPr>
                <w:ilvl w:val="0"/>
                <w:numId w:val="6"/>
              </w:numPr>
              <w:tabs>
                <w:tab w:val="left" w:pos="311"/>
              </w:tabs>
              <w:spacing w:before="0" w:beforeAutospacing="0" w:after="0" w:afterAutospacing="0"/>
              <w:ind w:left="0" w:firstLine="0"/>
              <w:jc w:val="center"/>
            </w:pPr>
          </w:p>
        </w:tc>
        <w:tc>
          <w:tcPr>
            <w:tcW w:w="13750" w:type="dxa"/>
            <w:gridSpan w:val="3"/>
          </w:tcPr>
          <w:p w14:paraId="55054E83" w14:textId="77777777" w:rsidR="00390303" w:rsidRPr="00825C2D" w:rsidRDefault="00390303" w:rsidP="00390303">
            <w:pPr>
              <w:jc w:val="center"/>
              <w:rPr>
                <w:b/>
                <w:sz w:val="24"/>
                <w:szCs w:val="24"/>
              </w:rPr>
            </w:pPr>
            <w:r w:rsidRPr="00825C2D">
              <w:rPr>
                <w:b/>
                <w:sz w:val="24"/>
                <w:szCs w:val="24"/>
                <w:shd w:val="clear" w:color="auto" w:fill="FFFFFF"/>
              </w:rPr>
              <w:t>Положення про вимоги до системи управління страховика, затверджене постановою Правління Національного банку України від 27 грудня 2023 року № 194 (зі змінами)</w:t>
            </w:r>
          </w:p>
        </w:tc>
      </w:tr>
      <w:tr w:rsidR="00825C2D" w:rsidRPr="00825C2D" w14:paraId="5C8BCA90" w14:textId="77777777" w:rsidTr="00BA5270">
        <w:trPr>
          <w:trHeight w:val="20"/>
        </w:trPr>
        <w:tc>
          <w:tcPr>
            <w:tcW w:w="704" w:type="dxa"/>
          </w:tcPr>
          <w:p w14:paraId="29CBEE04" w14:textId="77777777" w:rsidR="00390303" w:rsidRPr="00825C2D" w:rsidRDefault="00390303" w:rsidP="00390303">
            <w:pPr>
              <w:pStyle w:val="a4"/>
              <w:widowControl w:val="0"/>
              <w:numPr>
                <w:ilvl w:val="0"/>
                <w:numId w:val="6"/>
              </w:numPr>
              <w:tabs>
                <w:tab w:val="left" w:pos="311"/>
              </w:tabs>
              <w:spacing w:before="0" w:beforeAutospacing="0" w:after="0" w:afterAutospacing="0"/>
              <w:ind w:left="0" w:firstLine="0"/>
              <w:jc w:val="center"/>
            </w:pPr>
          </w:p>
        </w:tc>
        <w:tc>
          <w:tcPr>
            <w:tcW w:w="6804" w:type="dxa"/>
          </w:tcPr>
          <w:p w14:paraId="0F76E686" w14:textId="77777777" w:rsidR="00390303" w:rsidRPr="00825C2D" w:rsidRDefault="00390303" w:rsidP="00390303">
            <w:pPr>
              <w:tabs>
                <w:tab w:val="left" w:pos="1134"/>
              </w:tabs>
              <w:outlineLvl w:val="0"/>
              <w:rPr>
                <w:sz w:val="24"/>
                <w:szCs w:val="24"/>
              </w:rPr>
            </w:pPr>
            <w:r w:rsidRPr="00825C2D">
              <w:rPr>
                <w:sz w:val="24"/>
                <w:szCs w:val="24"/>
                <w:lang w:val="en-US"/>
              </w:rPr>
              <w:t>VIII</w:t>
            </w:r>
            <w:r w:rsidRPr="00825C2D">
              <w:rPr>
                <w:sz w:val="24"/>
                <w:szCs w:val="24"/>
                <w:lang w:val="ru-RU"/>
              </w:rPr>
              <w:t xml:space="preserve">. </w:t>
            </w:r>
            <w:r w:rsidRPr="00825C2D">
              <w:rPr>
                <w:sz w:val="24"/>
                <w:szCs w:val="24"/>
              </w:rPr>
              <w:t>Порядок звітування та контролю Національного банку за дотриманням страховиком вимог до системи управління</w:t>
            </w:r>
          </w:p>
          <w:p w14:paraId="5F7658B4" w14:textId="77777777" w:rsidR="00390303" w:rsidRPr="00825C2D" w:rsidRDefault="00390303" w:rsidP="00390303">
            <w:pPr>
              <w:tabs>
                <w:tab w:val="left" w:pos="1134"/>
              </w:tabs>
              <w:outlineLvl w:val="0"/>
              <w:rPr>
                <w:sz w:val="24"/>
                <w:szCs w:val="24"/>
                <w:lang w:val="ru-RU"/>
              </w:rPr>
            </w:pPr>
          </w:p>
        </w:tc>
        <w:tc>
          <w:tcPr>
            <w:tcW w:w="6946" w:type="dxa"/>
            <w:gridSpan w:val="2"/>
          </w:tcPr>
          <w:p w14:paraId="5A35C9CE" w14:textId="77777777" w:rsidR="00390303" w:rsidRPr="00825C2D" w:rsidRDefault="00390303" w:rsidP="00390303">
            <w:pPr>
              <w:pStyle w:val="rvps2"/>
              <w:shd w:val="clear" w:color="auto" w:fill="FFFFFF"/>
              <w:spacing w:before="0" w:beforeAutospacing="0" w:after="0" w:afterAutospacing="0"/>
              <w:ind w:firstLine="448"/>
              <w:jc w:val="both"/>
            </w:pPr>
          </w:p>
        </w:tc>
      </w:tr>
      <w:tr w:rsidR="00825C2D" w:rsidRPr="00825C2D" w14:paraId="1FEE5747" w14:textId="77777777" w:rsidTr="00BA5270">
        <w:trPr>
          <w:trHeight w:val="20"/>
        </w:trPr>
        <w:tc>
          <w:tcPr>
            <w:tcW w:w="704" w:type="dxa"/>
          </w:tcPr>
          <w:p w14:paraId="79E6D146" w14:textId="77777777" w:rsidR="00390303" w:rsidRPr="00825C2D" w:rsidRDefault="00390303" w:rsidP="00390303">
            <w:pPr>
              <w:pStyle w:val="a4"/>
              <w:widowControl w:val="0"/>
              <w:numPr>
                <w:ilvl w:val="0"/>
                <w:numId w:val="6"/>
              </w:numPr>
              <w:tabs>
                <w:tab w:val="left" w:pos="311"/>
              </w:tabs>
              <w:spacing w:before="0" w:beforeAutospacing="0" w:after="0" w:afterAutospacing="0"/>
              <w:ind w:left="0" w:firstLine="0"/>
              <w:jc w:val="center"/>
            </w:pPr>
          </w:p>
        </w:tc>
        <w:tc>
          <w:tcPr>
            <w:tcW w:w="6804" w:type="dxa"/>
          </w:tcPr>
          <w:p w14:paraId="26F757E7" w14:textId="77777777" w:rsidR="00390303" w:rsidRPr="00825C2D" w:rsidRDefault="00390303" w:rsidP="00390303">
            <w:pPr>
              <w:rPr>
                <w:sz w:val="24"/>
                <w:szCs w:val="24"/>
              </w:rPr>
            </w:pPr>
            <w:r w:rsidRPr="00825C2D">
              <w:rPr>
                <w:sz w:val="24"/>
                <w:szCs w:val="24"/>
              </w:rPr>
              <w:t>33.</w:t>
            </w:r>
            <w:r w:rsidRPr="00825C2D">
              <w:rPr>
                <w:sz w:val="24"/>
                <w:szCs w:val="24"/>
              </w:rPr>
              <w:tab/>
              <w:t>Порядок подання звітів та інших документів до Національного банку  щодо виконання окремих ключових функцій страховика</w:t>
            </w:r>
          </w:p>
        </w:tc>
        <w:tc>
          <w:tcPr>
            <w:tcW w:w="6946" w:type="dxa"/>
            <w:gridSpan w:val="2"/>
          </w:tcPr>
          <w:p w14:paraId="79F3FAED" w14:textId="77777777" w:rsidR="00390303" w:rsidRPr="00825C2D" w:rsidRDefault="00390303" w:rsidP="00390303">
            <w:pPr>
              <w:pStyle w:val="Default"/>
              <w:ind w:firstLine="312"/>
              <w:jc w:val="both"/>
              <w:rPr>
                <w:b/>
                <w:color w:val="auto"/>
                <w:shd w:val="clear" w:color="auto" w:fill="FFFFFF"/>
              </w:rPr>
            </w:pPr>
          </w:p>
        </w:tc>
      </w:tr>
      <w:tr w:rsidR="00825C2D" w:rsidRPr="00825C2D" w14:paraId="77A34C7F" w14:textId="77777777" w:rsidTr="00BA5270">
        <w:trPr>
          <w:trHeight w:val="20"/>
        </w:trPr>
        <w:tc>
          <w:tcPr>
            <w:tcW w:w="704" w:type="dxa"/>
          </w:tcPr>
          <w:p w14:paraId="1596F7F7" w14:textId="77777777" w:rsidR="00390303" w:rsidRPr="00825C2D" w:rsidRDefault="00390303" w:rsidP="00390303">
            <w:pPr>
              <w:pStyle w:val="a4"/>
              <w:widowControl w:val="0"/>
              <w:numPr>
                <w:ilvl w:val="0"/>
                <w:numId w:val="6"/>
              </w:numPr>
              <w:tabs>
                <w:tab w:val="left" w:pos="311"/>
              </w:tabs>
              <w:spacing w:before="0" w:beforeAutospacing="0" w:after="0" w:afterAutospacing="0"/>
              <w:ind w:left="0" w:firstLine="0"/>
              <w:jc w:val="center"/>
            </w:pPr>
          </w:p>
        </w:tc>
        <w:tc>
          <w:tcPr>
            <w:tcW w:w="6804" w:type="dxa"/>
          </w:tcPr>
          <w:p w14:paraId="5BB388E8" w14:textId="77777777" w:rsidR="00390303" w:rsidRPr="00825C2D" w:rsidRDefault="00390303" w:rsidP="00390303">
            <w:pPr>
              <w:widowControl w:val="0"/>
              <w:rPr>
                <w:b/>
                <w:sz w:val="24"/>
                <w:szCs w:val="24"/>
              </w:rPr>
            </w:pPr>
            <w:r w:rsidRPr="00825C2D">
              <w:rPr>
                <w:b/>
                <w:sz w:val="24"/>
                <w:szCs w:val="24"/>
              </w:rPr>
              <w:t>Відсутня</w:t>
            </w:r>
          </w:p>
        </w:tc>
        <w:tc>
          <w:tcPr>
            <w:tcW w:w="6946" w:type="dxa"/>
            <w:gridSpan w:val="2"/>
          </w:tcPr>
          <w:p w14:paraId="119825BE" w14:textId="77777777" w:rsidR="00390303" w:rsidRPr="00825C2D" w:rsidRDefault="00390303" w:rsidP="00390303">
            <w:pPr>
              <w:tabs>
                <w:tab w:val="left" w:pos="1134"/>
              </w:tabs>
              <w:rPr>
                <w:b/>
                <w:sz w:val="24"/>
                <w:szCs w:val="24"/>
              </w:rPr>
            </w:pPr>
            <w:bookmarkStart w:id="30" w:name="_Ref170403178"/>
            <w:r w:rsidRPr="00825C2D">
              <w:rPr>
                <w:b/>
                <w:sz w:val="24"/>
                <w:szCs w:val="24"/>
              </w:rPr>
              <w:t>260</w:t>
            </w:r>
            <w:r w:rsidRPr="00825C2D">
              <w:rPr>
                <w:b/>
                <w:sz w:val="24"/>
                <w:szCs w:val="24"/>
                <w:vertAlign w:val="superscript"/>
              </w:rPr>
              <w:t>1</w:t>
            </w:r>
            <w:r w:rsidRPr="00825C2D">
              <w:rPr>
                <w:b/>
                <w:sz w:val="24"/>
                <w:szCs w:val="24"/>
              </w:rPr>
              <w:t xml:space="preserve">. Страховик після настання технічного збою або інших невідворотних обставин, які об’єктивно унеможливили виконання таким страховиком вимог законодавства України </w:t>
            </w:r>
            <w:r w:rsidRPr="00825C2D">
              <w:rPr>
                <w:b/>
                <w:sz w:val="24"/>
                <w:szCs w:val="24"/>
                <w:lang w:val="ru-RU"/>
              </w:rPr>
              <w:t>[</w:t>
            </w:r>
            <w:r w:rsidRPr="00825C2D">
              <w:rPr>
                <w:b/>
                <w:sz w:val="24"/>
                <w:szCs w:val="24"/>
              </w:rPr>
              <w:t xml:space="preserve">за виключенням випадків настання технічного збою або інших невідворотних обставин, порядок повідомлення про які встановлений Положенням про порядок повідомлення надавачами фінансових або супровідних послуг про настання технічного збою або інших невідворотних обставин, затвердженим постановою </w:t>
            </w:r>
            <w:r w:rsidRPr="00825C2D">
              <w:rPr>
                <w:rStyle w:val="rvts9"/>
                <w:b/>
                <w:bCs/>
                <w:sz w:val="24"/>
                <w:szCs w:val="24"/>
                <w:shd w:val="clear" w:color="auto" w:fill="FFFFFF"/>
              </w:rPr>
              <w:t>Правління</w:t>
            </w:r>
            <w:r w:rsidRPr="00825C2D">
              <w:rPr>
                <w:sz w:val="24"/>
                <w:szCs w:val="24"/>
              </w:rPr>
              <w:br/>
            </w:r>
            <w:r w:rsidRPr="00825C2D">
              <w:rPr>
                <w:rStyle w:val="rvts9"/>
                <w:b/>
                <w:bCs/>
                <w:sz w:val="24"/>
                <w:szCs w:val="24"/>
                <w:shd w:val="clear" w:color="auto" w:fill="FFFFFF"/>
              </w:rPr>
              <w:t>Національного банку України</w:t>
            </w:r>
            <w:r w:rsidRPr="00825C2D">
              <w:rPr>
                <w:sz w:val="24"/>
                <w:szCs w:val="24"/>
              </w:rPr>
              <w:br/>
            </w:r>
            <w:r w:rsidRPr="00825C2D">
              <w:rPr>
                <w:rStyle w:val="rvts9"/>
                <w:b/>
                <w:bCs/>
                <w:sz w:val="24"/>
                <w:szCs w:val="24"/>
                <w:shd w:val="clear" w:color="auto" w:fill="FFFFFF"/>
              </w:rPr>
              <w:t xml:space="preserve">від 14 березня 2024 року </w:t>
            </w:r>
            <w:r w:rsidRPr="00825C2D">
              <w:rPr>
                <w:b/>
                <w:sz w:val="24"/>
                <w:szCs w:val="24"/>
              </w:rPr>
              <w:t>№ 29 (далі – Постанова № 29)</w:t>
            </w:r>
            <w:r w:rsidRPr="00825C2D">
              <w:rPr>
                <w:b/>
                <w:sz w:val="24"/>
                <w:szCs w:val="24"/>
                <w:lang w:val="ru-RU"/>
              </w:rPr>
              <w:t>]</w:t>
            </w:r>
            <w:r w:rsidRPr="00825C2D">
              <w:rPr>
                <w:b/>
                <w:sz w:val="24"/>
                <w:szCs w:val="24"/>
              </w:rPr>
              <w:t>, зобов’язаний документально зафіксувати інформацію про:</w:t>
            </w:r>
            <w:bookmarkEnd w:id="30"/>
          </w:p>
          <w:p w14:paraId="14ECAE5C" w14:textId="77777777" w:rsidR="00390303" w:rsidRPr="00825C2D" w:rsidRDefault="00390303" w:rsidP="00390303">
            <w:pPr>
              <w:shd w:val="clear" w:color="auto" w:fill="FFFFFF"/>
              <w:rPr>
                <w:b/>
                <w:sz w:val="24"/>
                <w:szCs w:val="24"/>
              </w:rPr>
            </w:pPr>
            <w:r w:rsidRPr="00825C2D">
              <w:rPr>
                <w:b/>
                <w:sz w:val="24"/>
                <w:szCs w:val="24"/>
              </w:rPr>
              <w:t>1) дату та час настання технічного збою або інших невідворотних обставин;</w:t>
            </w:r>
          </w:p>
          <w:p w14:paraId="56E9CC13" w14:textId="77777777" w:rsidR="00390303" w:rsidRPr="00825C2D" w:rsidRDefault="00390303" w:rsidP="00390303">
            <w:pPr>
              <w:shd w:val="clear" w:color="auto" w:fill="FFFFFF"/>
              <w:rPr>
                <w:b/>
                <w:sz w:val="24"/>
                <w:szCs w:val="24"/>
              </w:rPr>
            </w:pPr>
            <w:r w:rsidRPr="00825C2D">
              <w:rPr>
                <w:b/>
                <w:sz w:val="24"/>
                <w:szCs w:val="24"/>
              </w:rPr>
              <w:t>2) тривалість технічного збою або інших невідворотних обставин;</w:t>
            </w:r>
          </w:p>
          <w:p w14:paraId="6246C7C5" w14:textId="77777777" w:rsidR="00390303" w:rsidRPr="00825C2D" w:rsidRDefault="00390303" w:rsidP="00390303">
            <w:pPr>
              <w:shd w:val="clear" w:color="auto" w:fill="FFFFFF"/>
              <w:rPr>
                <w:b/>
                <w:sz w:val="24"/>
                <w:szCs w:val="24"/>
              </w:rPr>
            </w:pPr>
            <w:r w:rsidRPr="00825C2D">
              <w:rPr>
                <w:b/>
                <w:sz w:val="24"/>
                <w:szCs w:val="24"/>
              </w:rPr>
              <w:t>3) причини настання технічного збою або інших невідворотних обставин;</w:t>
            </w:r>
          </w:p>
          <w:p w14:paraId="506ACCB9" w14:textId="77777777" w:rsidR="00390303" w:rsidRPr="00825C2D" w:rsidRDefault="00390303" w:rsidP="00390303">
            <w:pPr>
              <w:shd w:val="clear" w:color="auto" w:fill="FFFFFF"/>
              <w:rPr>
                <w:b/>
                <w:sz w:val="24"/>
                <w:szCs w:val="24"/>
              </w:rPr>
            </w:pPr>
            <w:r w:rsidRPr="00825C2D">
              <w:rPr>
                <w:b/>
                <w:sz w:val="24"/>
                <w:szCs w:val="24"/>
              </w:rPr>
              <w:t>4) види послуг, на які вплинуло настання технічного збою або інших невідворотних обставин;</w:t>
            </w:r>
          </w:p>
          <w:p w14:paraId="2C3CAE39" w14:textId="77777777" w:rsidR="00390303" w:rsidRPr="00825C2D" w:rsidRDefault="00390303" w:rsidP="00390303">
            <w:pPr>
              <w:shd w:val="clear" w:color="auto" w:fill="FFFFFF"/>
              <w:rPr>
                <w:b/>
                <w:sz w:val="24"/>
                <w:szCs w:val="24"/>
              </w:rPr>
            </w:pPr>
            <w:r w:rsidRPr="00825C2D">
              <w:rPr>
                <w:b/>
                <w:sz w:val="24"/>
                <w:szCs w:val="24"/>
              </w:rPr>
              <w:t xml:space="preserve">5) оцінку впливу технічного збою або інших невідворотних обставин на безперервність </w:t>
            </w:r>
            <w:r w:rsidRPr="00825C2D">
              <w:rPr>
                <w:b/>
                <w:sz w:val="24"/>
                <w:szCs w:val="24"/>
                <w:shd w:val="clear" w:color="auto" w:fill="FFFFFF"/>
              </w:rPr>
              <w:t>діяльності страховика</w:t>
            </w:r>
            <w:r w:rsidRPr="00825C2D">
              <w:rPr>
                <w:b/>
                <w:sz w:val="24"/>
                <w:szCs w:val="24"/>
              </w:rPr>
              <w:t>;</w:t>
            </w:r>
          </w:p>
          <w:p w14:paraId="2EF49275" w14:textId="77777777" w:rsidR="00390303" w:rsidRPr="00825C2D" w:rsidRDefault="00390303" w:rsidP="00390303">
            <w:pPr>
              <w:shd w:val="clear" w:color="auto" w:fill="FFFFFF"/>
              <w:rPr>
                <w:b/>
                <w:sz w:val="24"/>
                <w:szCs w:val="24"/>
              </w:rPr>
            </w:pPr>
            <w:r w:rsidRPr="00825C2D">
              <w:rPr>
                <w:b/>
                <w:sz w:val="24"/>
                <w:szCs w:val="24"/>
              </w:rPr>
              <w:t xml:space="preserve">6) заходи, ужиті для відновлення діяльності та недопущення надалі настання технічного збою або інших невідворотних обставин. </w:t>
            </w:r>
          </w:p>
        </w:tc>
      </w:tr>
      <w:tr w:rsidR="00825C2D" w:rsidRPr="00825C2D" w14:paraId="7198089B" w14:textId="77777777" w:rsidTr="00BA5270">
        <w:trPr>
          <w:trHeight w:val="20"/>
        </w:trPr>
        <w:tc>
          <w:tcPr>
            <w:tcW w:w="704" w:type="dxa"/>
          </w:tcPr>
          <w:p w14:paraId="4EBA949B" w14:textId="77777777" w:rsidR="00390303" w:rsidRPr="00825C2D" w:rsidRDefault="00390303" w:rsidP="00390303">
            <w:pPr>
              <w:pStyle w:val="a4"/>
              <w:widowControl w:val="0"/>
              <w:numPr>
                <w:ilvl w:val="0"/>
                <w:numId w:val="6"/>
              </w:numPr>
              <w:tabs>
                <w:tab w:val="left" w:pos="311"/>
              </w:tabs>
              <w:spacing w:before="0" w:beforeAutospacing="0" w:after="0" w:afterAutospacing="0"/>
              <w:ind w:left="0" w:firstLine="0"/>
              <w:jc w:val="center"/>
            </w:pPr>
          </w:p>
        </w:tc>
        <w:tc>
          <w:tcPr>
            <w:tcW w:w="6804" w:type="dxa"/>
          </w:tcPr>
          <w:p w14:paraId="66E3CA82" w14:textId="77777777" w:rsidR="00390303" w:rsidRPr="00825C2D" w:rsidRDefault="00390303" w:rsidP="00390303">
            <w:pPr>
              <w:widowControl w:val="0"/>
              <w:rPr>
                <w:sz w:val="24"/>
                <w:szCs w:val="24"/>
              </w:rPr>
            </w:pPr>
            <w:r w:rsidRPr="00825C2D">
              <w:rPr>
                <w:b/>
                <w:sz w:val="24"/>
                <w:szCs w:val="24"/>
              </w:rPr>
              <w:t>Відсутня</w:t>
            </w:r>
          </w:p>
        </w:tc>
        <w:tc>
          <w:tcPr>
            <w:tcW w:w="6946" w:type="dxa"/>
            <w:gridSpan w:val="2"/>
          </w:tcPr>
          <w:p w14:paraId="4BDCD303" w14:textId="77777777" w:rsidR="00390303" w:rsidRPr="00825C2D" w:rsidRDefault="00390303" w:rsidP="00390303">
            <w:pPr>
              <w:shd w:val="clear" w:color="auto" w:fill="FFFFFF"/>
              <w:rPr>
                <w:b/>
                <w:sz w:val="24"/>
                <w:szCs w:val="24"/>
              </w:rPr>
            </w:pPr>
            <w:r w:rsidRPr="00825C2D">
              <w:rPr>
                <w:b/>
                <w:sz w:val="24"/>
                <w:szCs w:val="24"/>
              </w:rPr>
              <w:t>260</w:t>
            </w:r>
            <w:r w:rsidRPr="00825C2D">
              <w:rPr>
                <w:b/>
                <w:sz w:val="24"/>
                <w:szCs w:val="24"/>
                <w:vertAlign w:val="superscript"/>
              </w:rPr>
              <w:t>2</w:t>
            </w:r>
            <w:r w:rsidRPr="00825C2D">
              <w:rPr>
                <w:b/>
                <w:sz w:val="24"/>
                <w:szCs w:val="24"/>
              </w:rPr>
              <w:t xml:space="preserve">. Страховик у разі настання технічного збою або інших невідворотних обставин (за виключенням випадків настання технічного збою або інших невідворотних обставин, порядок повідомлення про які встановлений Положенням про порядок </w:t>
            </w:r>
            <w:r w:rsidRPr="00825C2D">
              <w:rPr>
                <w:b/>
                <w:sz w:val="24"/>
                <w:szCs w:val="24"/>
              </w:rPr>
              <w:lastRenderedPageBreak/>
              <w:t>повідомлення надавачами фінансових або супровідних послуг про настання технічного збою або інших невідворотних обставин, затвердженим Постановою № 29) зобов’язаний у порядку, строки та спосіб, визначені цим Положенням, повідомити Національний банк про факт настання технічного збою або інших невідворотних обставин.</w:t>
            </w:r>
          </w:p>
        </w:tc>
      </w:tr>
      <w:tr w:rsidR="00825C2D" w:rsidRPr="00825C2D" w14:paraId="473F1B7F" w14:textId="77777777" w:rsidTr="00BA5270">
        <w:trPr>
          <w:trHeight w:val="20"/>
        </w:trPr>
        <w:tc>
          <w:tcPr>
            <w:tcW w:w="704" w:type="dxa"/>
          </w:tcPr>
          <w:p w14:paraId="708F1F70" w14:textId="77777777" w:rsidR="00390303" w:rsidRPr="00825C2D" w:rsidRDefault="00390303" w:rsidP="00390303">
            <w:pPr>
              <w:pStyle w:val="a4"/>
              <w:widowControl w:val="0"/>
              <w:numPr>
                <w:ilvl w:val="0"/>
                <w:numId w:val="6"/>
              </w:numPr>
              <w:tabs>
                <w:tab w:val="left" w:pos="311"/>
              </w:tabs>
              <w:spacing w:before="0" w:beforeAutospacing="0" w:after="0" w:afterAutospacing="0"/>
              <w:ind w:left="0" w:firstLine="0"/>
              <w:jc w:val="center"/>
            </w:pPr>
          </w:p>
        </w:tc>
        <w:tc>
          <w:tcPr>
            <w:tcW w:w="6804" w:type="dxa"/>
          </w:tcPr>
          <w:p w14:paraId="3DB5F2B7" w14:textId="77777777" w:rsidR="00390303" w:rsidRPr="00825C2D" w:rsidRDefault="00390303" w:rsidP="00390303">
            <w:pPr>
              <w:rPr>
                <w:sz w:val="24"/>
                <w:szCs w:val="24"/>
              </w:rPr>
            </w:pPr>
            <w:r w:rsidRPr="00825C2D">
              <w:rPr>
                <w:b/>
                <w:sz w:val="24"/>
                <w:szCs w:val="24"/>
              </w:rPr>
              <w:t>Відсутня</w:t>
            </w:r>
          </w:p>
        </w:tc>
        <w:tc>
          <w:tcPr>
            <w:tcW w:w="6946" w:type="dxa"/>
            <w:gridSpan w:val="2"/>
          </w:tcPr>
          <w:p w14:paraId="082D2708" w14:textId="77777777" w:rsidR="00390303" w:rsidRPr="00825C2D" w:rsidRDefault="00390303" w:rsidP="00390303">
            <w:pPr>
              <w:shd w:val="clear" w:color="auto" w:fill="FFFFFF"/>
              <w:rPr>
                <w:b/>
                <w:sz w:val="24"/>
                <w:szCs w:val="24"/>
              </w:rPr>
            </w:pPr>
            <w:r w:rsidRPr="00825C2D">
              <w:rPr>
                <w:b/>
                <w:sz w:val="24"/>
                <w:szCs w:val="24"/>
              </w:rPr>
              <w:t>260</w:t>
            </w:r>
            <w:r w:rsidRPr="00825C2D">
              <w:rPr>
                <w:b/>
                <w:sz w:val="24"/>
                <w:szCs w:val="24"/>
                <w:vertAlign w:val="superscript"/>
              </w:rPr>
              <w:t>3</w:t>
            </w:r>
            <w:r w:rsidRPr="00825C2D">
              <w:rPr>
                <w:b/>
                <w:sz w:val="24"/>
                <w:szCs w:val="24"/>
              </w:rPr>
              <w:t>. Страховик зобов’язаний невідкладно, але не пізніше другого робочого дня, а в разі настання технічного збою або інших невідворотних обставин у вихідний, святковий або неробочий день наступного робочого дня від дати настання технічного збою або інших невідворотних обставин надавати Національному банку інформацію, зазначену в пункті 260</w:t>
            </w:r>
            <w:r w:rsidRPr="00825C2D">
              <w:rPr>
                <w:b/>
                <w:sz w:val="24"/>
                <w:szCs w:val="24"/>
                <w:vertAlign w:val="superscript"/>
              </w:rPr>
              <w:t>1</w:t>
            </w:r>
            <w:r w:rsidRPr="00825C2D">
              <w:rPr>
                <w:b/>
                <w:sz w:val="24"/>
                <w:szCs w:val="24"/>
              </w:rPr>
              <w:t xml:space="preserve"> глави 33 розділу </w:t>
            </w:r>
            <w:r w:rsidRPr="00825C2D">
              <w:rPr>
                <w:b/>
                <w:sz w:val="24"/>
                <w:szCs w:val="24"/>
                <w:lang w:val="en-US"/>
              </w:rPr>
              <w:t>VIII</w:t>
            </w:r>
            <w:r w:rsidRPr="00825C2D">
              <w:rPr>
                <w:b/>
                <w:sz w:val="24"/>
                <w:szCs w:val="24"/>
              </w:rPr>
              <w:t xml:space="preserve"> цього Положення.</w:t>
            </w:r>
          </w:p>
        </w:tc>
      </w:tr>
      <w:tr w:rsidR="00825C2D" w:rsidRPr="00825C2D" w14:paraId="356E91C4" w14:textId="77777777" w:rsidTr="00BA5270">
        <w:trPr>
          <w:trHeight w:val="20"/>
        </w:trPr>
        <w:tc>
          <w:tcPr>
            <w:tcW w:w="704" w:type="dxa"/>
          </w:tcPr>
          <w:p w14:paraId="5B0EBCD0" w14:textId="77777777" w:rsidR="00390303" w:rsidRPr="00825C2D" w:rsidRDefault="00390303" w:rsidP="00390303">
            <w:pPr>
              <w:pStyle w:val="a4"/>
              <w:widowControl w:val="0"/>
              <w:numPr>
                <w:ilvl w:val="0"/>
                <w:numId w:val="6"/>
              </w:numPr>
              <w:tabs>
                <w:tab w:val="left" w:pos="311"/>
              </w:tabs>
              <w:spacing w:before="0" w:beforeAutospacing="0" w:after="0" w:afterAutospacing="0"/>
              <w:ind w:left="0" w:firstLine="0"/>
              <w:jc w:val="center"/>
            </w:pPr>
          </w:p>
        </w:tc>
        <w:tc>
          <w:tcPr>
            <w:tcW w:w="6804" w:type="dxa"/>
          </w:tcPr>
          <w:p w14:paraId="5F6E640F" w14:textId="77777777" w:rsidR="00390303" w:rsidRPr="00825C2D" w:rsidRDefault="00390303" w:rsidP="00390303">
            <w:pPr>
              <w:rPr>
                <w:sz w:val="24"/>
                <w:szCs w:val="24"/>
              </w:rPr>
            </w:pPr>
            <w:r w:rsidRPr="00825C2D">
              <w:rPr>
                <w:b/>
                <w:sz w:val="24"/>
                <w:szCs w:val="24"/>
              </w:rPr>
              <w:t>Відсутня</w:t>
            </w:r>
          </w:p>
        </w:tc>
        <w:tc>
          <w:tcPr>
            <w:tcW w:w="6946" w:type="dxa"/>
            <w:gridSpan w:val="2"/>
          </w:tcPr>
          <w:p w14:paraId="29016DE4" w14:textId="77777777" w:rsidR="00390303" w:rsidRPr="00825C2D" w:rsidRDefault="00390303" w:rsidP="00390303">
            <w:pPr>
              <w:shd w:val="clear" w:color="auto" w:fill="FFFFFF"/>
              <w:rPr>
                <w:b/>
                <w:sz w:val="24"/>
                <w:szCs w:val="24"/>
              </w:rPr>
            </w:pPr>
            <w:r w:rsidRPr="00825C2D">
              <w:rPr>
                <w:b/>
                <w:sz w:val="24"/>
                <w:szCs w:val="24"/>
              </w:rPr>
              <w:t>260</w:t>
            </w:r>
            <w:r w:rsidRPr="00825C2D">
              <w:rPr>
                <w:b/>
                <w:sz w:val="24"/>
                <w:szCs w:val="24"/>
                <w:vertAlign w:val="superscript"/>
              </w:rPr>
              <w:t>4</w:t>
            </w:r>
            <w:r w:rsidRPr="00825C2D">
              <w:rPr>
                <w:b/>
                <w:sz w:val="24"/>
                <w:szCs w:val="24"/>
              </w:rPr>
              <w:t>. Інформація про настання технічного збою або  інших невідворотних обставин надсилається страховиком до Національному банку:</w:t>
            </w:r>
          </w:p>
          <w:p w14:paraId="36E18085" w14:textId="77777777" w:rsidR="00390303" w:rsidRPr="00825C2D" w:rsidRDefault="00390303" w:rsidP="00390303">
            <w:pPr>
              <w:shd w:val="clear" w:color="auto" w:fill="FFFFFF"/>
              <w:rPr>
                <w:b/>
                <w:sz w:val="24"/>
                <w:szCs w:val="24"/>
              </w:rPr>
            </w:pPr>
            <w:r w:rsidRPr="00825C2D">
              <w:rPr>
                <w:b/>
                <w:sz w:val="24"/>
                <w:szCs w:val="24"/>
              </w:rPr>
              <w:t>1) засобами системи електронної пошти Національного банку (у разі підключення);</w:t>
            </w:r>
          </w:p>
          <w:p w14:paraId="040C4D1B" w14:textId="77777777" w:rsidR="00390303" w:rsidRPr="00825C2D" w:rsidRDefault="00390303" w:rsidP="00390303">
            <w:pPr>
              <w:shd w:val="clear" w:color="auto" w:fill="FFFFFF"/>
              <w:rPr>
                <w:b/>
                <w:sz w:val="24"/>
                <w:szCs w:val="24"/>
              </w:rPr>
            </w:pPr>
            <w:r w:rsidRPr="00825C2D">
              <w:rPr>
                <w:b/>
                <w:sz w:val="24"/>
                <w:szCs w:val="24"/>
              </w:rPr>
              <w:t>2) на офіційну електронну поштову скриньку Національного банку nbu@bank.gov.ua;</w:t>
            </w:r>
          </w:p>
          <w:p w14:paraId="66F6AFAA" w14:textId="77777777" w:rsidR="00390303" w:rsidRPr="00825C2D" w:rsidRDefault="00390303" w:rsidP="00390303">
            <w:pPr>
              <w:shd w:val="clear" w:color="auto" w:fill="FFFFFF"/>
              <w:rPr>
                <w:b/>
                <w:sz w:val="24"/>
                <w:szCs w:val="24"/>
              </w:rPr>
            </w:pPr>
            <w:r w:rsidRPr="00825C2D">
              <w:rPr>
                <w:b/>
                <w:sz w:val="24"/>
                <w:szCs w:val="24"/>
              </w:rPr>
              <w:t>3) іншими засобами електронного зв’язку, які використовуються Національним банком для електронного документообігу;</w:t>
            </w:r>
          </w:p>
          <w:p w14:paraId="20BE0911" w14:textId="77777777" w:rsidR="00390303" w:rsidRPr="00825C2D" w:rsidRDefault="00390303" w:rsidP="00390303">
            <w:pPr>
              <w:shd w:val="clear" w:color="auto" w:fill="FFFFFF"/>
              <w:rPr>
                <w:b/>
                <w:sz w:val="24"/>
                <w:szCs w:val="24"/>
              </w:rPr>
            </w:pPr>
            <w:r w:rsidRPr="00825C2D">
              <w:rPr>
                <w:b/>
                <w:sz w:val="24"/>
                <w:szCs w:val="24"/>
              </w:rPr>
              <w:t>4) засобами поштового зв’язку в паперовій формі (у разі неможливості внаслідок настання технічного збою або інших невідворотних обставин надсилання інформації іншими способами).</w:t>
            </w:r>
          </w:p>
        </w:tc>
      </w:tr>
      <w:tr w:rsidR="00825C2D" w:rsidRPr="00825C2D" w14:paraId="4F4105B0" w14:textId="77777777" w:rsidTr="00BA5270">
        <w:trPr>
          <w:trHeight w:val="20"/>
        </w:trPr>
        <w:tc>
          <w:tcPr>
            <w:tcW w:w="704" w:type="dxa"/>
          </w:tcPr>
          <w:p w14:paraId="6DDAD5B5" w14:textId="77777777" w:rsidR="00390303" w:rsidRPr="00825C2D" w:rsidRDefault="00390303" w:rsidP="00390303">
            <w:pPr>
              <w:pStyle w:val="a4"/>
              <w:widowControl w:val="0"/>
              <w:numPr>
                <w:ilvl w:val="0"/>
                <w:numId w:val="6"/>
              </w:numPr>
              <w:tabs>
                <w:tab w:val="left" w:pos="311"/>
              </w:tabs>
              <w:spacing w:before="0" w:beforeAutospacing="0" w:after="0" w:afterAutospacing="0"/>
              <w:ind w:left="0" w:firstLine="0"/>
              <w:jc w:val="center"/>
            </w:pPr>
          </w:p>
        </w:tc>
        <w:tc>
          <w:tcPr>
            <w:tcW w:w="6804" w:type="dxa"/>
          </w:tcPr>
          <w:p w14:paraId="7F4561DC" w14:textId="77777777" w:rsidR="00390303" w:rsidRPr="00825C2D" w:rsidRDefault="00390303" w:rsidP="00390303">
            <w:pPr>
              <w:widowControl w:val="0"/>
              <w:rPr>
                <w:sz w:val="24"/>
                <w:szCs w:val="24"/>
              </w:rPr>
            </w:pPr>
            <w:r w:rsidRPr="00825C2D">
              <w:rPr>
                <w:b/>
                <w:sz w:val="24"/>
                <w:szCs w:val="24"/>
              </w:rPr>
              <w:t>Відсутня</w:t>
            </w:r>
          </w:p>
        </w:tc>
        <w:tc>
          <w:tcPr>
            <w:tcW w:w="6946" w:type="dxa"/>
            <w:gridSpan w:val="2"/>
          </w:tcPr>
          <w:p w14:paraId="23C81E59" w14:textId="77777777" w:rsidR="00390303" w:rsidRPr="00825C2D" w:rsidRDefault="00390303" w:rsidP="00390303">
            <w:pPr>
              <w:shd w:val="clear" w:color="auto" w:fill="FFFFFF"/>
              <w:rPr>
                <w:b/>
                <w:sz w:val="24"/>
                <w:szCs w:val="24"/>
              </w:rPr>
            </w:pPr>
            <w:r w:rsidRPr="00825C2D">
              <w:rPr>
                <w:b/>
                <w:sz w:val="24"/>
                <w:szCs w:val="24"/>
              </w:rPr>
              <w:t>260</w:t>
            </w:r>
            <w:r w:rsidRPr="00825C2D">
              <w:rPr>
                <w:b/>
                <w:sz w:val="24"/>
                <w:szCs w:val="24"/>
                <w:vertAlign w:val="superscript"/>
              </w:rPr>
              <w:t>5</w:t>
            </w:r>
            <w:r w:rsidRPr="00825C2D">
              <w:rPr>
                <w:b/>
                <w:sz w:val="24"/>
                <w:szCs w:val="24"/>
              </w:rPr>
              <w:t xml:space="preserve">. Страховик має право не повідомляти Національний банк про факт настання технічного збою або інших </w:t>
            </w:r>
            <w:r w:rsidRPr="00825C2D">
              <w:rPr>
                <w:b/>
                <w:sz w:val="24"/>
                <w:szCs w:val="24"/>
              </w:rPr>
              <w:lastRenderedPageBreak/>
              <w:t>невідворотних обставин (крім випадків настання технічного збою або інших невідворотних обставин, порядок повідомлення про які, встановлені Положенням про порядок повідомлення надавачами фінансових або супровідних послуг про настання технічного збою або інших невідворотних обставин, затвердженим Постановою № 29), якщо тривалість такого технічного збою або інших невідворотних обставин не перевищує 24 годин поспіль з моменту настання технічного збою або інших невідворотних обставин, за умови, що такий технічний збій або інші невідворотні обставини не призвели до невиконання страховиком вимог законодавства України.</w:t>
            </w:r>
          </w:p>
        </w:tc>
      </w:tr>
      <w:tr w:rsidR="00825C2D" w:rsidRPr="00825C2D" w14:paraId="3C741DDA" w14:textId="77777777" w:rsidTr="00E11F75">
        <w:trPr>
          <w:trHeight w:val="20"/>
        </w:trPr>
        <w:tc>
          <w:tcPr>
            <w:tcW w:w="704" w:type="dxa"/>
          </w:tcPr>
          <w:p w14:paraId="0C84041D" w14:textId="77777777" w:rsidR="00390303" w:rsidRPr="00825C2D" w:rsidRDefault="00390303" w:rsidP="00390303">
            <w:pPr>
              <w:pStyle w:val="a4"/>
              <w:widowControl w:val="0"/>
              <w:numPr>
                <w:ilvl w:val="0"/>
                <w:numId w:val="6"/>
              </w:numPr>
              <w:tabs>
                <w:tab w:val="left" w:pos="311"/>
              </w:tabs>
              <w:spacing w:before="0" w:beforeAutospacing="0" w:after="0" w:afterAutospacing="0"/>
              <w:ind w:left="0" w:firstLine="0"/>
              <w:jc w:val="center"/>
            </w:pPr>
          </w:p>
        </w:tc>
        <w:tc>
          <w:tcPr>
            <w:tcW w:w="13750" w:type="dxa"/>
            <w:gridSpan w:val="3"/>
          </w:tcPr>
          <w:p w14:paraId="3F9E717A" w14:textId="77777777" w:rsidR="00390303" w:rsidRPr="00825C2D" w:rsidRDefault="00390303" w:rsidP="00390303">
            <w:pPr>
              <w:shd w:val="clear" w:color="auto" w:fill="FFFFFF"/>
              <w:jc w:val="center"/>
              <w:rPr>
                <w:b/>
                <w:sz w:val="24"/>
                <w:szCs w:val="24"/>
              </w:rPr>
            </w:pPr>
            <w:r w:rsidRPr="00825C2D">
              <w:rPr>
                <w:b/>
                <w:sz w:val="24"/>
                <w:szCs w:val="24"/>
                <w:shd w:val="clear" w:color="auto" w:fill="FFFFFF"/>
              </w:rPr>
              <w:t>Положення про вимоги до системи управління кредитною спілкою, затверджене постановою Правління Національного банку України від 02 лютого 2024 року № 15 (зі змінами)</w:t>
            </w:r>
          </w:p>
        </w:tc>
      </w:tr>
      <w:tr w:rsidR="00825C2D" w:rsidRPr="00825C2D" w14:paraId="1A38D091" w14:textId="77777777" w:rsidTr="00B60698">
        <w:trPr>
          <w:trHeight w:val="20"/>
        </w:trPr>
        <w:tc>
          <w:tcPr>
            <w:tcW w:w="704" w:type="dxa"/>
          </w:tcPr>
          <w:p w14:paraId="4DAA0771" w14:textId="77777777" w:rsidR="00390303" w:rsidRPr="00825C2D" w:rsidRDefault="00390303" w:rsidP="00390303">
            <w:pPr>
              <w:pStyle w:val="a4"/>
              <w:widowControl w:val="0"/>
              <w:numPr>
                <w:ilvl w:val="0"/>
                <w:numId w:val="6"/>
              </w:numPr>
              <w:tabs>
                <w:tab w:val="left" w:pos="311"/>
              </w:tabs>
              <w:spacing w:before="0" w:beforeAutospacing="0" w:after="0" w:afterAutospacing="0"/>
              <w:ind w:left="0" w:firstLine="0"/>
              <w:jc w:val="center"/>
            </w:pPr>
          </w:p>
        </w:tc>
        <w:tc>
          <w:tcPr>
            <w:tcW w:w="13750" w:type="dxa"/>
            <w:gridSpan w:val="3"/>
          </w:tcPr>
          <w:p w14:paraId="0EEC4C53" w14:textId="77777777" w:rsidR="00390303" w:rsidRPr="00825C2D" w:rsidRDefault="00390303" w:rsidP="00390303">
            <w:pPr>
              <w:tabs>
                <w:tab w:val="left" w:pos="1134"/>
              </w:tabs>
              <w:rPr>
                <w:sz w:val="24"/>
                <w:szCs w:val="24"/>
              </w:rPr>
            </w:pPr>
            <w:r w:rsidRPr="00825C2D">
              <w:rPr>
                <w:bCs/>
                <w:sz w:val="24"/>
                <w:szCs w:val="24"/>
                <w:shd w:val="clear" w:color="auto" w:fill="FFFFFF"/>
              </w:rPr>
              <w:t>VI. Порядок звітування та контролю щодо виконання вимог у межах системи управління кредитної спілки</w:t>
            </w:r>
          </w:p>
        </w:tc>
      </w:tr>
      <w:tr w:rsidR="00825C2D" w:rsidRPr="00825C2D" w14:paraId="16108F93" w14:textId="77777777" w:rsidTr="008869D5">
        <w:trPr>
          <w:trHeight w:val="20"/>
        </w:trPr>
        <w:tc>
          <w:tcPr>
            <w:tcW w:w="704" w:type="dxa"/>
          </w:tcPr>
          <w:p w14:paraId="10A5F7F0" w14:textId="77777777" w:rsidR="00390303" w:rsidRPr="00825C2D" w:rsidRDefault="00390303" w:rsidP="00390303">
            <w:pPr>
              <w:pStyle w:val="a4"/>
              <w:widowControl w:val="0"/>
              <w:numPr>
                <w:ilvl w:val="0"/>
                <w:numId w:val="6"/>
              </w:numPr>
              <w:tabs>
                <w:tab w:val="left" w:pos="311"/>
              </w:tabs>
              <w:spacing w:before="0" w:beforeAutospacing="0" w:after="0" w:afterAutospacing="0"/>
              <w:ind w:left="0" w:firstLine="0"/>
              <w:jc w:val="center"/>
            </w:pPr>
          </w:p>
        </w:tc>
        <w:tc>
          <w:tcPr>
            <w:tcW w:w="13750" w:type="dxa"/>
            <w:gridSpan w:val="3"/>
          </w:tcPr>
          <w:p w14:paraId="4A255A93" w14:textId="77777777" w:rsidR="00390303" w:rsidRPr="00825C2D" w:rsidRDefault="00390303" w:rsidP="00390303">
            <w:pPr>
              <w:tabs>
                <w:tab w:val="left" w:pos="1134"/>
              </w:tabs>
              <w:jc w:val="center"/>
              <w:rPr>
                <w:sz w:val="24"/>
                <w:szCs w:val="24"/>
              </w:rPr>
            </w:pPr>
            <w:r w:rsidRPr="00825C2D">
              <w:rPr>
                <w:bCs/>
                <w:sz w:val="24"/>
                <w:szCs w:val="24"/>
                <w:shd w:val="clear" w:color="auto" w:fill="FFFFFF"/>
              </w:rPr>
              <w:t>29. Порядок подання кредитною спілкою до Національного банку звітів та іншої інформації щодо виконання функцій управління ризиками та внутрішнього аудиту</w:t>
            </w:r>
          </w:p>
        </w:tc>
      </w:tr>
      <w:tr w:rsidR="00825C2D" w:rsidRPr="00825C2D" w14:paraId="63353FB4" w14:textId="77777777" w:rsidTr="00BA5270">
        <w:trPr>
          <w:trHeight w:val="20"/>
        </w:trPr>
        <w:tc>
          <w:tcPr>
            <w:tcW w:w="704" w:type="dxa"/>
          </w:tcPr>
          <w:p w14:paraId="1460A989" w14:textId="77777777" w:rsidR="00390303" w:rsidRPr="00825C2D" w:rsidRDefault="00390303" w:rsidP="00390303">
            <w:pPr>
              <w:pStyle w:val="a4"/>
              <w:widowControl w:val="0"/>
              <w:numPr>
                <w:ilvl w:val="0"/>
                <w:numId w:val="6"/>
              </w:numPr>
              <w:tabs>
                <w:tab w:val="left" w:pos="311"/>
              </w:tabs>
              <w:spacing w:before="0" w:beforeAutospacing="0" w:after="0" w:afterAutospacing="0"/>
              <w:ind w:left="0" w:firstLine="0"/>
              <w:jc w:val="center"/>
            </w:pPr>
          </w:p>
        </w:tc>
        <w:tc>
          <w:tcPr>
            <w:tcW w:w="6804" w:type="dxa"/>
          </w:tcPr>
          <w:p w14:paraId="5B54A9E9" w14:textId="77777777" w:rsidR="00390303" w:rsidRPr="00825C2D" w:rsidRDefault="00390303" w:rsidP="00390303">
            <w:pPr>
              <w:widowControl w:val="0"/>
              <w:rPr>
                <w:sz w:val="24"/>
                <w:szCs w:val="24"/>
              </w:rPr>
            </w:pPr>
            <w:r w:rsidRPr="00825C2D">
              <w:rPr>
                <w:b/>
                <w:sz w:val="24"/>
                <w:szCs w:val="24"/>
              </w:rPr>
              <w:t>Відсутня</w:t>
            </w:r>
          </w:p>
        </w:tc>
        <w:tc>
          <w:tcPr>
            <w:tcW w:w="6946" w:type="dxa"/>
            <w:gridSpan w:val="2"/>
          </w:tcPr>
          <w:p w14:paraId="5A0731E0" w14:textId="77777777" w:rsidR="00390303" w:rsidRPr="00825C2D" w:rsidRDefault="00390303" w:rsidP="00390303">
            <w:pPr>
              <w:tabs>
                <w:tab w:val="left" w:pos="1134"/>
              </w:tabs>
              <w:rPr>
                <w:b/>
                <w:sz w:val="24"/>
                <w:szCs w:val="24"/>
              </w:rPr>
            </w:pPr>
            <w:r w:rsidRPr="00825C2D">
              <w:rPr>
                <w:b/>
                <w:sz w:val="24"/>
                <w:szCs w:val="24"/>
              </w:rPr>
              <w:t>320</w:t>
            </w:r>
            <w:r w:rsidRPr="00825C2D">
              <w:rPr>
                <w:b/>
                <w:sz w:val="24"/>
                <w:szCs w:val="24"/>
                <w:vertAlign w:val="superscript"/>
              </w:rPr>
              <w:t>1</w:t>
            </w:r>
            <w:r w:rsidRPr="00825C2D">
              <w:rPr>
                <w:b/>
                <w:sz w:val="24"/>
                <w:szCs w:val="24"/>
              </w:rPr>
              <w:t xml:space="preserve">. Кредитна спілка після настання технічного збою або інших невідворотних обставин, які об’єктивно унеможливили виконання такою кредитною спілкою вимог законодавства України </w:t>
            </w:r>
            <w:r w:rsidRPr="00825C2D">
              <w:rPr>
                <w:b/>
                <w:sz w:val="24"/>
                <w:szCs w:val="24"/>
                <w:lang w:val="ru-RU"/>
              </w:rPr>
              <w:t>[</w:t>
            </w:r>
            <w:r w:rsidRPr="00825C2D">
              <w:rPr>
                <w:b/>
                <w:sz w:val="24"/>
                <w:szCs w:val="24"/>
              </w:rPr>
              <w:t xml:space="preserve">за виключенням випадків настання технічного збою або інших невідворотних обставин, порядок повідомлення про які встановлений Положенням про порядок повідомлення надавачами фінансових або супровідних послуг про настання технічного збою або інших невідворотних обставин, затвердженим постановою </w:t>
            </w:r>
            <w:r w:rsidRPr="00825C2D">
              <w:rPr>
                <w:rStyle w:val="rvts9"/>
                <w:b/>
                <w:bCs/>
                <w:sz w:val="24"/>
                <w:szCs w:val="24"/>
                <w:shd w:val="clear" w:color="auto" w:fill="FFFFFF"/>
              </w:rPr>
              <w:t>Правління</w:t>
            </w:r>
            <w:r w:rsidRPr="00825C2D">
              <w:rPr>
                <w:sz w:val="24"/>
                <w:szCs w:val="24"/>
              </w:rPr>
              <w:br/>
            </w:r>
            <w:r w:rsidRPr="00825C2D">
              <w:rPr>
                <w:rStyle w:val="rvts9"/>
                <w:b/>
                <w:bCs/>
                <w:sz w:val="24"/>
                <w:szCs w:val="24"/>
                <w:shd w:val="clear" w:color="auto" w:fill="FFFFFF"/>
              </w:rPr>
              <w:t>Національного банку України</w:t>
            </w:r>
            <w:r w:rsidRPr="00825C2D">
              <w:rPr>
                <w:sz w:val="24"/>
                <w:szCs w:val="24"/>
              </w:rPr>
              <w:br/>
            </w:r>
            <w:r w:rsidRPr="00825C2D">
              <w:rPr>
                <w:rStyle w:val="rvts9"/>
                <w:b/>
                <w:bCs/>
                <w:sz w:val="24"/>
                <w:szCs w:val="24"/>
                <w:shd w:val="clear" w:color="auto" w:fill="FFFFFF"/>
              </w:rPr>
              <w:t xml:space="preserve">від 14 березня 2024 року </w:t>
            </w:r>
            <w:r w:rsidRPr="00825C2D">
              <w:rPr>
                <w:b/>
                <w:sz w:val="24"/>
                <w:szCs w:val="24"/>
              </w:rPr>
              <w:t>№ 29 (далі – Постанова № 29)</w:t>
            </w:r>
            <w:r w:rsidRPr="00825C2D">
              <w:rPr>
                <w:b/>
                <w:sz w:val="24"/>
                <w:szCs w:val="24"/>
                <w:lang w:val="ru-RU"/>
              </w:rPr>
              <w:t>]</w:t>
            </w:r>
            <w:r w:rsidRPr="00825C2D">
              <w:rPr>
                <w:b/>
                <w:sz w:val="24"/>
                <w:szCs w:val="24"/>
              </w:rPr>
              <w:t>, зобов’язана документально зафіксувати інформацію про:</w:t>
            </w:r>
          </w:p>
          <w:p w14:paraId="61113D3C" w14:textId="77777777" w:rsidR="00390303" w:rsidRPr="00825C2D" w:rsidRDefault="00390303" w:rsidP="00390303">
            <w:pPr>
              <w:shd w:val="clear" w:color="auto" w:fill="FFFFFF"/>
              <w:rPr>
                <w:b/>
                <w:sz w:val="24"/>
                <w:szCs w:val="24"/>
              </w:rPr>
            </w:pPr>
            <w:r w:rsidRPr="00825C2D">
              <w:rPr>
                <w:b/>
                <w:sz w:val="24"/>
                <w:szCs w:val="24"/>
              </w:rPr>
              <w:lastRenderedPageBreak/>
              <w:t>1) дату та час настання технічного збою або інших невідворотних обставин;</w:t>
            </w:r>
          </w:p>
          <w:p w14:paraId="6D66FEFC" w14:textId="77777777" w:rsidR="00390303" w:rsidRPr="00825C2D" w:rsidRDefault="00390303" w:rsidP="00390303">
            <w:pPr>
              <w:shd w:val="clear" w:color="auto" w:fill="FFFFFF"/>
              <w:rPr>
                <w:b/>
                <w:sz w:val="24"/>
                <w:szCs w:val="24"/>
              </w:rPr>
            </w:pPr>
            <w:r w:rsidRPr="00825C2D">
              <w:rPr>
                <w:b/>
                <w:sz w:val="24"/>
                <w:szCs w:val="24"/>
              </w:rPr>
              <w:t>2) тривалість технічного збою або інших невідворотних обставин;</w:t>
            </w:r>
          </w:p>
          <w:p w14:paraId="235101BC" w14:textId="77777777" w:rsidR="00390303" w:rsidRPr="00825C2D" w:rsidRDefault="00390303" w:rsidP="00390303">
            <w:pPr>
              <w:shd w:val="clear" w:color="auto" w:fill="FFFFFF"/>
              <w:rPr>
                <w:b/>
                <w:sz w:val="24"/>
                <w:szCs w:val="24"/>
              </w:rPr>
            </w:pPr>
            <w:r w:rsidRPr="00825C2D">
              <w:rPr>
                <w:b/>
                <w:sz w:val="24"/>
                <w:szCs w:val="24"/>
              </w:rPr>
              <w:t>3) причини настання технічного збою або інших невідворотних обставин;</w:t>
            </w:r>
          </w:p>
          <w:p w14:paraId="75BC4A42" w14:textId="77777777" w:rsidR="00390303" w:rsidRPr="00825C2D" w:rsidRDefault="00390303" w:rsidP="00390303">
            <w:pPr>
              <w:shd w:val="clear" w:color="auto" w:fill="FFFFFF"/>
              <w:rPr>
                <w:b/>
                <w:sz w:val="24"/>
                <w:szCs w:val="24"/>
              </w:rPr>
            </w:pPr>
            <w:r w:rsidRPr="00825C2D">
              <w:rPr>
                <w:b/>
                <w:sz w:val="24"/>
                <w:szCs w:val="24"/>
              </w:rPr>
              <w:t>4) види послуг, на які вплинуло настання технічного збою або інших невідворотних обставин;</w:t>
            </w:r>
          </w:p>
          <w:p w14:paraId="5379B252" w14:textId="77777777" w:rsidR="00390303" w:rsidRPr="00825C2D" w:rsidRDefault="00390303" w:rsidP="00390303">
            <w:pPr>
              <w:shd w:val="clear" w:color="auto" w:fill="FFFFFF"/>
              <w:rPr>
                <w:b/>
                <w:sz w:val="24"/>
                <w:szCs w:val="24"/>
              </w:rPr>
            </w:pPr>
            <w:r w:rsidRPr="00825C2D">
              <w:rPr>
                <w:b/>
                <w:sz w:val="24"/>
                <w:szCs w:val="24"/>
              </w:rPr>
              <w:t xml:space="preserve">5) оцінку впливу технічного збою або інших невідворотних обставин на безперервність </w:t>
            </w:r>
            <w:r w:rsidRPr="00825C2D">
              <w:rPr>
                <w:b/>
                <w:sz w:val="24"/>
                <w:szCs w:val="24"/>
                <w:shd w:val="clear" w:color="auto" w:fill="FFFFFF"/>
              </w:rPr>
              <w:t>діяльності кредитної спілки</w:t>
            </w:r>
            <w:r w:rsidRPr="00825C2D">
              <w:rPr>
                <w:b/>
                <w:sz w:val="24"/>
                <w:szCs w:val="24"/>
              </w:rPr>
              <w:t>;</w:t>
            </w:r>
          </w:p>
          <w:p w14:paraId="7EBAE6CD" w14:textId="77777777" w:rsidR="00390303" w:rsidRPr="00825C2D" w:rsidRDefault="00390303" w:rsidP="00390303">
            <w:pPr>
              <w:shd w:val="clear" w:color="auto" w:fill="FFFFFF"/>
              <w:rPr>
                <w:b/>
                <w:sz w:val="24"/>
                <w:szCs w:val="24"/>
              </w:rPr>
            </w:pPr>
            <w:r w:rsidRPr="00825C2D">
              <w:rPr>
                <w:b/>
                <w:sz w:val="24"/>
                <w:szCs w:val="24"/>
              </w:rPr>
              <w:t xml:space="preserve">6) заходи, ужиті для відновлення діяльності та недопущення надалі настання технічного збою або інших невідворотних обставин. </w:t>
            </w:r>
          </w:p>
        </w:tc>
      </w:tr>
      <w:tr w:rsidR="00825C2D" w:rsidRPr="00825C2D" w14:paraId="108D0007" w14:textId="77777777" w:rsidTr="00BA5270">
        <w:trPr>
          <w:trHeight w:val="20"/>
        </w:trPr>
        <w:tc>
          <w:tcPr>
            <w:tcW w:w="704" w:type="dxa"/>
          </w:tcPr>
          <w:p w14:paraId="0CD9D8B3" w14:textId="77777777" w:rsidR="00390303" w:rsidRPr="00825C2D" w:rsidRDefault="00390303" w:rsidP="00390303">
            <w:pPr>
              <w:pStyle w:val="a4"/>
              <w:widowControl w:val="0"/>
              <w:numPr>
                <w:ilvl w:val="0"/>
                <w:numId w:val="6"/>
              </w:numPr>
              <w:tabs>
                <w:tab w:val="left" w:pos="311"/>
              </w:tabs>
              <w:spacing w:before="0" w:beforeAutospacing="0" w:after="0" w:afterAutospacing="0"/>
              <w:ind w:left="0" w:firstLine="0"/>
              <w:jc w:val="center"/>
            </w:pPr>
          </w:p>
        </w:tc>
        <w:tc>
          <w:tcPr>
            <w:tcW w:w="6804" w:type="dxa"/>
          </w:tcPr>
          <w:p w14:paraId="1C5B0B9E" w14:textId="77777777" w:rsidR="00390303" w:rsidRPr="00825C2D" w:rsidRDefault="00390303" w:rsidP="00390303">
            <w:pPr>
              <w:widowControl w:val="0"/>
              <w:rPr>
                <w:sz w:val="24"/>
                <w:szCs w:val="24"/>
              </w:rPr>
            </w:pPr>
            <w:r w:rsidRPr="00825C2D">
              <w:rPr>
                <w:b/>
                <w:sz w:val="24"/>
                <w:szCs w:val="24"/>
              </w:rPr>
              <w:t>Відсутня</w:t>
            </w:r>
          </w:p>
        </w:tc>
        <w:tc>
          <w:tcPr>
            <w:tcW w:w="6946" w:type="dxa"/>
            <w:gridSpan w:val="2"/>
          </w:tcPr>
          <w:p w14:paraId="6BD975E7" w14:textId="77777777" w:rsidR="00390303" w:rsidRPr="00825C2D" w:rsidRDefault="00390303" w:rsidP="00390303">
            <w:pPr>
              <w:shd w:val="clear" w:color="auto" w:fill="FFFFFF"/>
              <w:rPr>
                <w:b/>
                <w:sz w:val="24"/>
                <w:szCs w:val="24"/>
              </w:rPr>
            </w:pPr>
            <w:r w:rsidRPr="00825C2D">
              <w:rPr>
                <w:b/>
                <w:sz w:val="24"/>
                <w:szCs w:val="24"/>
              </w:rPr>
              <w:t>320</w:t>
            </w:r>
            <w:r w:rsidRPr="00825C2D">
              <w:rPr>
                <w:b/>
                <w:sz w:val="24"/>
                <w:szCs w:val="24"/>
                <w:vertAlign w:val="superscript"/>
              </w:rPr>
              <w:t>2</w:t>
            </w:r>
            <w:r w:rsidRPr="00825C2D">
              <w:rPr>
                <w:b/>
                <w:sz w:val="24"/>
                <w:szCs w:val="24"/>
              </w:rPr>
              <w:t>. Кредитна спілка у разі настання технічного збою або інших невідворотних обставин (за виключенням випадків настання технічного збою або інших невідворотних обставин, порядок повідомлення про які встановлений Положенням про порядок повідомлення надавачами фінансових або супровідних послуг про настання технічного збою або інших невідворотних обставин, затвердженим Постановою № 29) зобов’язана у порядку, строки та спосіб, визначені цим Положенням, повідомити Національний банк про факт настання технічного збою або інших невідворотних обставин.</w:t>
            </w:r>
          </w:p>
        </w:tc>
      </w:tr>
      <w:tr w:rsidR="00825C2D" w:rsidRPr="00825C2D" w14:paraId="07B30DE1" w14:textId="77777777" w:rsidTr="00BA5270">
        <w:trPr>
          <w:trHeight w:val="20"/>
        </w:trPr>
        <w:tc>
          <w:tcPr>
            <w:tcW w:w="704" w:type="dxa"/>
          </w:tcPr>
          <w:p w14:paraId="0C46CF9B" w14:textId="77777777" w:rsidR="00390303" w:rsidRPr="00825C2D" w:rsidRDefault="00390303" w:rsidP="00390303">
            <w:pPr>
              <w:pStyle w:val="a4"/>
              <w:widowControl w:val="0"/>
              <w:numPr>
                <w:ilvl w:val="0"/>
                <w:numId w:val="6"/>
              </w:numPr>
              <w:tabs>
                <w:tab w:val="left" w:pos="311"/>
              </w:tabs>
              <w:spacing w:before="0" w:beforeAutospacing="0" w:after="0" w:afterAutospacing="0"/>
              <w:ind w:left="0" w:firstLine="0"/>
              <w:jc w:val="center"/>
            </w:pPr>
          </w:p>
        </w:tc>
        <w:tc>
          <w:tcPr>
            <w:tcW w:w="6804" w:type="dxa"/>
          </w:tcPr>
          <w:p w14:paraId="13973697" w14:textId="77777777" w:rsidR="00390303" w:rsidRPr="00825C2D" w:rsidRDefault="00390303" w:rsidP="00390303">
            <w:pPr>
              <w:widowControl w:val="0"/>
              <w:rPr>
                <w:sz w:val="24"/>
                <w:szCs w:val="24"/>
              </w:rPr>
            </w:pPr>
            <w:r w:rsidRPr="00825C2D">
              <w:rPr>
                <w:b/>
                <w:sz w:val="24"/>
                <w:szCs w:val="24"/>
              </w:rPr>
              <w:t>Відсутня</w:t>
            </w:r>
          </w:p>
        </w:tc>
        <w:tc>
          <w:tcPr>
            <w:tcW w:w="6946" w:type="dxa"/>
            <w:gridSpan w:val="2"/>
          </w:tcPr>
          <w:p w14:paraId="2B160B0F" w14:textId="77777777" w:rsidR="00390303" w:rsidRPr="00825C2D" w:rsidRDefault="00390303" w:rsidP="00390303">
            <w:pPr>
              <w:shd w:val="clear" w:color="auto" w:fill="FFFFFF"/>
              <w:rPr>
                <w:b/>
                <w:sz w:val="24"/>
                <w:szCs w:val="24"/>
              </w:rPr>
            </w:pPr>
            <w:r w:rsidRPr="00825C2D">
              <w:rPr>
                <w:b/>
                <w:sz w:val="24"/>
                <w:szCs w:val="24"/>
              </w:rPr>
              <w:t>320</w:t>
            </w:r>
            <w:r w:rsidRPr="00825C2D">
              <w:rPr>
                <w:b/>
                <w:sz w:val="24"/>
                <w:szCs w:val="24"/>
                <w:vertAlign w:val="superscript"/>
              </w:rPr>
              <w:t>3</w:t>
            </w:r>
            <w:r w:rsidRPr="00825C2D">
              <w:rPr>
                <w:b/>
                <w:sz w:val="24"/>
                <w:szCs w:val="24"/>
              </w:rPr>
              <w:t xml:space="preserve">. Кредитна спілка зобов’язана невідкладно, але не пізніше другого робочого дня, а в разі настання технічного збою або інших невідворотних обставин у вихідний, святковий або неробочий день наступного робочого дня від дати настання технічного збою або інших невідворотних обставин надавати </w:t>
            </w:r>
            <w:r w:rsidRPr="00825C2D">
              <w:rPr>
                <w:b/>
                <w:sz w:val="24"/>
                <w:szCs w:val="24"/>
              </w:rPr>
              <w:lastRenderedPageBreak/>
              <w:t>Національному банку інформацію, зазначену в пункті 320</w:t>
            </w:r>
            <w:r w:rsidRPr="00825C2D">
              <w:rPr>
                <w:b/>
                <w:sz w:val="24"/>
                <w:szCs w:val="24"/>
                <w:vertAlign w:val="superscript"/>
              </w:rPr>
              <w:t>1</w:t>
            </w:r>
            <w:r w:rsidRPr="00825C2D">
              <w:rPr>
                <w:b/>
                <w:sz w:val="24"/>
                <w:szCs w:val="24"/>
              </w:rPr>
              <w:t xml:space="preserve"> глави 29 розділу </w:t>
            </w:r>
            <w:r w:rsidRPr="00825C2D">
              <w:rPr>
                <w:b/>
                <w:sz w:val="24"/>
                <w:szCs w:val="24"/>
                <w:lang w:val="en-US"/>
              </w:rPr>
              <w:t>VI</w:t>
            </w:r>
            <w:r w:rsidRPr="00825C2D">
              <w:rPr>
                <w:b/>
                <w:sz w:val="24"/>
                <w:szCs w:val="24"/>
              </w:rPr>
              <w:t xml:space="preserve"> цього Положення.</w:t>
            </w:r>
          </w:p>
        </w:tc>
      </w:tr>
      <w:tr w:rsidR="00825C2D" w:rsidRPr="00825C2D" w14:paraId="0E87A4C6" w14:textId="77777777" w:rsidTr="00BA5270">
        <w:trPr>
          <w:trHeight w:val="20"/>
        </w:trPr>
        <w:tc>
          <w:tcPr>
            <w:tcW w:w="704" w:type="dxa"/>
          </w:tcPr>
          <w:p w14:paraId="7B281287" w14:textId="77777777" w:rsidR="00390303" w:rsidRPr="00825C2D" w:rsidRDefault="00390303" w:rsidP="00390303">
            <w:pPr>
              <w:pStyle w:val="a4"/>
              <w:widowControl w:val="0"/>
              <w:numPr>
                <w:ilvl w:val="0"/>
                <w:numId w:val="6"/>
              </w:numPr>
              <w:tabs>
                <w:tab w:val="left" w:pos="311"/>
              </w:tabs>
              <w:spacing w:before="0" w:beforeAutospacing="0" w:after="0" w:afterAutospacing="0"/>
              <w:ind w:left="0" w:firstLine="0"/>
              <w:jc w:val="center"/>
            </w:pPr>
          </w:p>
        </w:tc>
        <w:tc>
          <w:tcPr>
            <w:tcW w:w="6804" w:type="dxa"/>
          </w:tcPr>
          <w:p w14:paraId="4B5BC22C" w14:textId="77777777" w:rsidR="00390303" w:rsidRPr="00825C2D" w:rsidRDefault="00390303" w:rsidP="00390303">
            <w:pPr>
              <w:widowControl w:val="0"/>
              <w:rPr>
                <w:sz w:val="24"/>
                <w:szCs w:val="24"/>
              </w:rPr>
            </w:pPr>
            <w:r w:rsidRPr="00825C2D">
              <w:rPr>
                <w:b/>
                <w:sz w:val="24"/>
                <w:szCs w:val="24"/>
              </w:rPr>
              <w:t>Відсутня</w:t>
            </w:r>
          </w:p>
        </w:tc>
        <w:tc>
          <w:tcPr>
            <w:tcW w:w="6946" w:type="dxa"/>
            <w:gridSpan w:val="2"/>
          </w:tcPr>
          <w:p w14:paraId="1A34F903" w14:textId="77777777" w:rsidR="00390303" w:rsidRPr="00825C2D" w:rsidRDefault="00390303" w:rsidP="00390303">
            <w:pPr>
              <w:shd w:val="clear" w:color="auto" w:fill="FFFFFF"/>
              <w:rPr>
                <w:b/>
                <w:sz w:val="24"/>
                <w:szCs w:val="24"/>
              </w:rPr>
            </w:pPr>
            <w:r w:rsidRPr="00825C2D">
              <w:rPr>
                <w:b/>
                <w:sz w:val="24"/>
                <w:szCs w:val="24"/>
              </w:rPr>
              <w:t>320</w:t>
            </w:r>
            <w:r w:rsidRPr="00825C2D">
              <w:rPr>
                <w:b/>
                <w:sz w:val="24"/>
                <w:szCs w:val="24"/>
                <w:vertAlign w:val="superscript"/>
              </w:rPr>
              <w:t>4</w:t>
            </w:r>
            <w:r w:rsidRPr="00825C2D">
              <w:rPr>
                <w:b/>
                <w:sz w:val="24"/>
                <w:szCs w:val="24"/>
              </w:rPr>
              <w:t>. Інформація про настання технічного збою або  інших невідворотних обставин надсилається кредитною спілкою до Національному банку:</w:t>
            </w:r>
          </w:p>
          <w:p w14:paraId="7D41B88F" w14:textId="77777777" w:rsidR="00390303" w:rsidRPr="00825C2D" w:rsidRDefault="00390303" w:rsidP="00390303">
            <w:pPr>
              <w:shd w:val="clear" w:color="auto" w:fill="FFFFFF"/>
              <w:rPr>
                <w:b/>
                <w:sz w:val="24"/>
                <w:szCs w:val="24"/>
              </w:rPr>
            </w:pPr>
            <w:r w:rsidRPr="00825C2D">
              <w:rPr>
                <w:b/>
                <w:sz w:val="24"/>
                <w:szCs w:val="24"/>
              </w:rPr>
              <w:t>1) засобами системи електронної пошти Національного банку (у разі підключення);</w:t>
            </w:r>
          </w:p>
          <w:p w14:paraId="5D52494C" w14:textId="77777777" w:rsidR="00390303" w:rsidRPr="00825C2D" w:rsidRDefault="00390303" w:rsidP="00390303">
            <w:pPr>
              <w:shd w:val="clear" w:color="auto" w:fill="FFFFFF"/>
              <w:rPr>
                <w:b/>
                <w:sz w:val="24"/>
                <w:szCs w:val="24"/>
              </w:rPr>
            </w:pPr>
            <w:r w:rsidRPr="00825C2D">
              <w:rPr>
                <w:b/>
                <w:sz w:val="24"/>
                <w:szCs w:val="24"/>
              </w:rPr>
              <w:t>2) на офіційну електронну поштову скриньку Національного банку nbu@bank.gov.ua;</w:t>
            </w:r>
          </w:p>
          <w:p w14:paraId="38D2D27C" w14:textId="77777777" w:rsidR="00390303" w:rsidRPr="00825C2D" w:rsidRDefault="00390303" w:rsidP="00390303">
            <w:pPr>
              <w:shd w:val="clear" w:color="auto" w:fill="FFFFFF"/>
              <w:rPr>
                <w:b/>
                <w:sz w:val="24"/>
                <w:szCs w:val="24"/>
              </w:rPr>
            </w:pPr>
            <w:r w:rsidRPr="00825C2D">
              <w:rPr>
                <w:b/>
                <w:sz w:val="24"/>
                <w:szCs w:val="24"/>
              </w:rPr>
              <w:t>3) іншими засобами електронного зв’язку, які використовуються Національним банком для електронного документообігу;</w:t>
            </w:r>
          </w:p>
          <w:p w14:paraId="0AE1ABC7" w14:textId="77777777" w:rsidR="00390303" w:rsidRPr="00825C2D" w:rsidRDefault="00390303" w:rsidP="00390303">
            <w:pPr>
              <w:shd w:val="clear" w:color="auto" w:fill="FFFFFF"/>
              <w:rPr>
                <w:b/>
                <w:sz w:val="24"/>
                <w:szCs w:val="24"/>
              </w:rPr>
            </w:pPr>
            <w:r w:rsidRPr="00825C2D">
              <w:rPr>
                <w:b/>
                <w:sz w:val="24"/>
                <w:szCs w:val="24"/>
              </w:rPr>
              <w:t>4) засобами поштового зв’язку в паперовій формі (у разі неможливості внаслідок настання технічного збою або інших невідворотних обставин надсилання інформації іншими способами).</w:t>
            </w:r>
          </w:p>
        </w:tc>
      </w:tr>
      <w:tr w:rsidR="00825C2D" w:rsidRPr="00825C2D" w14:paraId="037D1689" w14:textId="77777777" w:rsidTr="00BA5270">
        <w:trPr>
          <w:trHeight w:val="20"/>
        </w:trPr>
        <w:tc>
          <w:tcPr>
            <w:tcW w:w="704" w:type="dxa"/>
          </w:tcPr>
          <w:p w14:paraId="04C8EB3E" w14:textId="77777777" w:rsidR="00390303" w:rsidRPr="00825C2D" w:rsidRDefault="00390303" w:rsidP="00390303">
            <w:pPr>
              <w:pStyle w:val="a4"/>
              <w:widowControl w:val="0"/>
              <w:numPr>
                <w:ilvl w:val="0"/>
                <w:numId w:val="6"/>
              </w:numPr>
              <w:tabs>
                <w:tab w:val="left" w:pos="311"/>
              </w:tabs>
              <w:spacing w:before="0" w:beforeAutospacing="0" w:after="0" w:afterAutospacing="0"/>
              <w:ind w:left="0" w:firstLine="0"/>
              <w:jc w:val="center"/>
            </w:pPr>
          </w:p>
        </w:tc>
        <w:tc>
          <w:tcPr>
            <w:tcW w:w="6804" w:type="dxa"/>
          </w:tcPr>
          <w:p w14:paraId="2AF55C8D" w14:textId="77777777" w:rsidR="00390303" w:rsidRPr="00825C2D" w:rsidRDefault="00390303" w:rsidP="00390303">
            <w:pPr>
              <w:widowControl w:val="0"/>
              <w:rPr>
                <w:sz w:val="24"/>
                <w:szCs w:val="24"/>
              </w:rPr>
            </w:pPr>
            <w:r w:rsidRPr="00825C2D">
              <w:rPr>
                <w:b/>
                <w:sz w:val="24"/>
                <w:szCs w:val="24"/>
              </w:rPr>
              <w:t>Відсутня</w:t>
            </w:r>
          </w:p>
        </w:tc>
        <w:tc>
          <w:tcPr>
            <w:tcW w:w="6946" w:type="dxa"/>
            <w:gridSpan w:val="2"/>
          </w:tcPr>
          <w:p w14:paraId="21EC5B73" w14:textId="77777777" w:rsidR="00390303" w:rsidRPr="00825C2D" w:rsidRDefault="00390303" w:rsidP="00390303">
            <w:pPr>
              <w:shd w:val="clear" w:color="auto" w:fill="FFFFFF"/>
              <w:rPr>
                <w:b/>
                <w:sz w:val="24"/>
                <w:szCs w:val="24"/>
              </w:rPr>
            </w:pPr>
            <w:r w:rsidRPr="00825C2D">
              <w:rPr>
                <w:b/>
                <w:sz w:val="24"/>
                <w:szCs w:val="24"/>
              </w:rPr>
              <w:t>320</w:t>
            </w:r>
            <w:r w:rsidRPr="00825C2D">
              <w:rPr>
                <w:b/>
                <w:sz w:val="24"/>
                <w:szCs w:val="24"/>
                <w:vertAlign w:val="superscript"/>
              </w:rPr>
              <w:t>5</w:t>
            </w:r>
            <w:r w:rsidRPr="00825C2D">
              <w:rPr>
                <w:b/>
                <w:sz w:val="24"/>
                <w:szCs w:val="24"/>
              </w:rPr>
              <w:t xml:space="preserve">. Кредитна спілка має право не повідомляти Національний банк про факт настання технічного збою або інших невідворотних обставин (крім випадків настання технічного збою або інших невідворотних обставин, порядок повідомлення про які, встановлені Положенням про порядок повідомлення надавачами фінансових або супровідних послуг про настання технічного збою або інших невідворотних обставин, затвердженим Постановою № 29), якщо тривалість такого технічного збою або інших невідворотних обставин не перевищує 24 годин поспіль з моменту настання технічного збою або інших невідворотних обставин, за умови, що такий технічний збій або інші невідворотні обставини не призвели </w:t>
            </w:r>
            <w:r w:rsidRPr="00825C2D">
              <w:rPr>
                <w:b/>
                <w:sz w:val="24"/>
                <w:szCs w:val="24"/>
              </w:rPr>
              <w:lastRenderedPageBreak/>
              <w:t>до невиконання кредитною спілкою вимог законодавства України.</w:t>
            </w:r>
          </w:p>
        </w:tc>
      </w:tr>
    </w:tbl>
    <w:p w14:paraId="70D62B62" w14:textId="77777777" w:rsidR="00307A99" w:rsidRPr="00D927F6" w:rsidRDefault="00307A99" w:rsidP="00C80921">
      <w:pPr>
        <w:pStyle w:val="a4"/>
        <w:spacing w:before="0" w:beforeAutospacing="0" w:after="0" w:afterAutospacing="0"/>
        <w:ind w:firstLine="709"/>
        <w:jc w:val="center"/>
        <w:rPr>
          <w:sz w:val="28"/>
          <w:szCs w:val="28"/>
        </w:rPr>
      </w:pPr>
    </w:p>
    <w:p w14:paraId="634B2F7B" w14:textId="77777777" w:rsidR="00071164" w:rsidRPr="00D927F6" w:rsidRDefault="00071164" w:rsidP="00C80921">
      <w:pPr>
        <w:pStyle w:val="a4"/>
        <w:spacing w:before="0" w:beforeAutospacing="0" w:after="0" w:afterAutospacing="0"/>
        <w:ind w:firstLine="709"/>
        <w:jc w:val="center"/>
        <w:rPr>
          <w:sz w:val="28"/>
          <w:szCs w:val="28"/>
        </w:rPr>
      </w:pPr>
    </w:p>
    <w:tbl>
      <w:tblPr>
        <w:tblStyle w:val="a3"/>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7796"/>
      </w:tblGrid>
      <w:tr w:rsidR="00E443CF" w:rsidRPr="00D927F6" w14:paraId="43AC2AC2" w14:textId="77777777" w:rsidTr="00F32A4D">
        <w:tc>
          <w:tcPr>
            <w:tcW w:w="6521" w:type="dxa"/>
            <w:vAlign w:val="bottom"/>
          </w:tcPr>
          <w:p w14:paraId="56697CA4" w14:textId="77777777" w:rsidR="00E443CF" w:rsidRPr="00D927F6" w:rsidRDefault="00E443CF" w:rsidP="00C80921">
            <w:pPr>
              <w:autoSpaceDE w:val="0"/>
              <w:autoSpaceDN w:val="0"/>
            </w:pPr>
            <w:r w:rsidRPr="00D927F6">
              <w:t xml:space="preserve">Директор Департаменту методології </w:t>
            </w:r>
            <w:r w:rsidRPr="00D927F6">
              <w:rPr>
                <w:bCs/>
              </w:rPr>
              <w:t>регулювання діяльності небанківських фінансових установ</w:t>
            </w:r>
          </w:p>
        </w:tc>
        <w:tc>
          <w:tcPr>
            <w:tcW w:w="7796" w:type="dxa"/>
            <w:vAlign w:val="bottom"/>
          </w:tcPr>
          <w:p w14:paraId="27DF7C31" w14:textId="77777777" w:rsidR="00E443CF" w:rsidRPr="00D927F6" w:rsidRDefault="00E443CF" w:rsidP="00C80921">
            <w:pPr>
              <w:tabs>
                <w:tab w:val="left" w:pos="7020"/>
                <w:tab w:val="left" w:pos="7200"/>
              </w:tabs>
              <w:autoSpaceDE w:val="0"/>
              <w:autoSpaceDN w:val="0"/>
              <w:jc w:val="right"/>
            </w:pPr>
            <w:r w:rsidRPr="00D927F6">
              <w:t>Сергій САВЧУК</w:t>
            </w:r>
          </w:p>
        </w:tc>
      </w:tr>
    </w:tbl>
    <w:p w14:paraId="3EF12ED7" w14:textId="77777777" w:rsidR="00E443CF" w:rsidRPr="00D927F6" w:rsidRDefault="00E443CF" w:rsidP="00C80921">
      <w:pPr>
        <w:pStyle w:val="a4"/>
        <w:spacing w:before="0" w:beforeAutospacing="0" w:after="0" w:afterAutospacing="0"/>
        <w:ind w:firstLine="709"/>
        <w:jc w:val="both"/>
        <w:rPr>
          <w:sz w:val="28"/>
          <w:szCs w:val="28"/>
        </w:rPr>
      </w:pPr>
    </w:p>
    <w:p w14:paraId="459ECA31" w14:textId="77777777" w:rsidR="00413FCB" w:rsidRPr="00D927F6" w:rsidRDefault="00413FCB" w:rsidP="00C80921">
      <w:pPr>
        <w:pStyle w:val="a4"/>
        <w:spacing w:before="0" w:beforeAutospacing="0" w:after="0" w:afterAutospacing="0"/>
        <w:ind w:firstLine="709"/>
        <w:jc w:val="both"/>
        <w:rPr>
          <w:sz w:val="28"/>
          <w:szCs w:val="28"/>
        </w:rPr>
      </w:pPr>
      <w:r w:rsidRPr="00D927F6">
        <w:rPr>
          <w:sz w:val="28"/>
          <w:szCs w:val="28"/>
        </w:rPr>
        <w:t>“____” ______________ 20___ року</w:t>
      </w:r>
    </w:p>
    <w:sectPr w:rsidR="00413FCB" w:rsidRPr="00D927F6" w:rsidSect="00413FCB">
      <w:pgSz w:w="16838" w:h="11906" w:orient="landscape"/>
      <w:pgMar w:top="1418" w:right="851"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BD2"/>
    <w:multiLevelType w:val="hybridMultilevel"/>
    <w:tmpl w:val="A28EA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342F3"/>
    <w:multiLevelType w:val="hybridMultilevel"/>
    <w:tmpl w:val="E4E25358"/>
    <w:lvl w:ilvl="0" w:tplc="A28AFE1A">
      <w:start w:val="1"/>
      <w:numFmt w:val="decimal"/>
      <w:suff w:val="space"/>
      <w:lvlText w:val="%1)"/>
      <w:lvlJc w:val="left"/>
      <w:pPr>
        <w:ind w:left="1778"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FFE2EB8"/>
    <w:multiLevelType w:val="hybridMultilevel"/>
    <w:tmpl w:val="F2229ADE"/>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F22427"/>
    <w:multiLevelType w:val="hybridMultilevel"/>
    <w:tmpl w:val="63262ADA"/>
    <w:lvl w:ilvl="0" w:tplc="59489334">
      <w:start w:val="1"/>
      <w:numFmt w:val="decimal"/>
      <w:lvlText w:val="%1)"/>
      <w:lvlJc w:val="left"/>
      <w:pPr>
        <w:ind w:left="3479" w:hanging="360"/>
      </w:pPr>
      <w:rPr>
        <w:rFonts w:cs="Times New Roman" w:hint="default"/>
        <w:strike w:val="0"/>
        <w:color w:val="auto"/>
        <w:sz w:val="28"/>
        <w:szCs w:val="28"/>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 w15:restartNumberingAfterBreak="0">
    <w:nsid w:val="17252359"/>
    <w:multiLevelType w:val="hybridMultilevel"/>
    <w:tmpl w:val="C07CD69E"/>
    <w:lvl w:ilvl="0" w:tplc="2AB830C8">
      <w:start w:val="1"/>
      <w:numFmt w:val="decimal"/>
      <w:lvlText w:val="%1)"/>
      <w:lvlJc w:val="left"/>
      <w:pPr>
        <w:ind w:left="858" w:hanging="408"/>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5" w15:restartNumberingAfterBreak="0">
    <w:nsid w:val="219222DE"/>
    <w:multiLevelType w:val="hybridMultilevel"/>
    <w:tmpl w:val="342E1464"/>
    <w:lvl w:ilvl="0" w:tplc="0422000F">
      <w:start w:val="1"/>
      <w:numFmt w:val="decimal"/>
      <w:lvlText w:val="%1."/>
      <w:lvlJc w:val="left"/>
      <w:pPr>
        <w:ind w:left="720" w:hanging="360"/>
      </w:pPr>
    </w:lvl>
    <w:lvl w:ilvl="1" w:tplc="04220011">
      <w:start w:val="1"/>
      <w:numFmt w:val="decimal"/>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9570260"/>
    <w:multiLevelType w:val="hybridMultilevel"/>
    <w:tmpl w:val="F2229AD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ADB21CD"/>
    <w:multiLevelType w:val="hybridMultilevel"/>
    <w:tmpl w:val="0E8C7A80"/>
    <w:lvl w:ilvl="0" w:tplc="E5E4EAC0">
      <w:start w:val="1"/>
      <w:numFmt w:val="decimal"/>
      <w:lvlText w:val="%1)"/>
      <w:lvlJc w:val="left"/>
      <w:pPr>
        <w:ind w:left="1440" w:hanging="360"/>
      </w:pPr>
      <w:rPr>
        <w:rFonts w:ascii="Times New Roman" w:hAnsi="Times New Roman" w:cs="Times New Roman" w:hint="default"/>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44041744"/>
    <w:multiLevelType w:val="hybridMultilevel"/>
    <w:tmpl w:val="F2229ADE"/>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7F77F98"/>
    <w:multiLevelType w:val="hybridMultilevel"/>
    <w:tmpl w:val="0F94F81E"/>
    <w:lvl w:ilvl="0" w:tplc="6AE44DE0">
      <w:start w:val="1"/>
      <w:numFmt w:val="upperRoman"/>
      <w:suff w:val="space"/>
      <w:lvlText w:val="%1."/>
      <w:lvlJc w:val="left"/>
      <w:pPr>
        <w:ind w:left="1080" w:hanging="720"/>
      </w:pPr>
      <w:rPr>
        <w:rFonts w:hint="default"/>
        <w:b w:val="0"/>
        <w:color w:val="333333"/>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95B7E70"/>
    <w:multiLevelType w:val="hybridMultilevel"/>
    <w:tmpl w:val="A0CC61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7BA469A"/>
    <w:multiLevelType w:val="hybridMultilevel"/>
    <w:tmpl w:val="80941F2C"/>
    <w:lvl w:ilvl="0" w:tplc="3ED033D4">
      <w:start w:val="1"/>
      <w:numFmt w:val="decimal"/>
      <w:suff w:val="space"/>
      <w:lvlText w:val="%1."/>
      <w:lvlJc w:val="left"/>
      <w:pPr>
        <w:ind w:left="2911" w:hanging="360"/>
      </w:pPr>
      <w:rPr>
        <w:rFonts w:hint="default"/>
        <w:b w:val="0"/>
        <w:strike w:val="0"/>
        <w:color w:val="auto"/>
        <w:sz w:val="28"/>
        <w:szCs w:val="28"/>
      </w:rPr>
    </w:lvl>
    <w:lvl w:ilvl="1" w:tplc="0B8AF396">
      <w:start w:val="1"/>
      <w:numFmt w:val="decimal"/>
      <w:suff w:val="space"/>
      <w:lvlText w:val="%2)"/>
      <w:lvlJc w:val="left"/>
      <w:pPr>
        <w:ind w:left="1789" w:hanging="360"/>
      </w:pPr>
      <w:rPr>
        <w:rFonts w:hint="default"/>
      </w:r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5A8C67CB"/>
    <w:multiLevelType w:val="hybridMultilevel"/>
    <w:tmpl w:val="3E7EC8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DB404A2"/>
    <w:multiLevelType w:val="hybridMultilevel"/>
    <w:tmpl w:val="80941F2C"/>
    <w:lvl w:ilvl="0" w:tplc="3ED033D4">
      <w:start w:val="1"/>
      <w:numFmt w:val="decimal"/>
      <w:suff w:val="space"/>
      <w:lvlText w:val="%1."/>
      <w:lvlJc w:val="left"/>
      <w:pPr>
        <w:ind w:left="2911" w:hanging="360"/>
      </w:pPr>
      <w:rPr>
        <w:rFonts w:hint="default"/>
        <w:b w:val="0"/>
        <w:strike w:val="0"/>
        <w:color w:val="auto"/>
        <w:sz w:val="28"/>
        <w:szCs w:val="28"/>
      </w:rPr>
    </w:lvl>
    <w:lvl w:ilvl="1" w:tplc="0B8AF396">
      <w:start w:val="1"/>
      <w:numFmt w:val="decimal"/>
      <w:suff w:val="space"/>
      <w:lvlText w:val="%2)"/>
      <w:lvlJc w:val="left"/>
      <w:pPr>
        <w:ind w:left="1789" w:hanging="360"/>
      </w:pPr>
      <w:rPr>
        <w:rFonts w:hint="default"/>
      </w:r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604F70F9"/>
    <w:multiLevelType w:val="multilevel"/>
    <w:tmpl w:val="086A3378"/>
    <w:lvl w:ilvl="0">
      <w:start w:val="1"/>
      <w:numFmt w:val="decimal"/>
      <w:lvlText w:val="%1."/>
      <w:lvlJc w:val="left"/>
      <w:pPr>
        <w:ind w:left="1495" w:hanging="360"/>
      </w:pPr>
      <w:rPr>
        <w:rFonts w:ascii="Times New Roman" w:hAnsi="Times New Roman" w:cs="Times New Roman" w:hint="default"/>
        <w:color w:val="auto"/>
        <w:sz w:val="28"/>
        <w:szCs w:val="28"/>
        <w:lang w:val="ru-RU"/>
      </w:rPr>
    </w:lvl>
    <w:lvl w:ilvl="1">
      <w:start w:val="1"/>
      <w:numFmt w:val="decimal"/>
      <w:lvlText w:val="%2)"/>
      <w:lvlJc w:val="left"/>
      <w:pPr>
        <w:ind w:left="3131"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15" w15:restartNumberingAfterBreak="0">
    <w:nsid w:val="606665B9"/>
    <w:multiLevelType w:val="hybridMultilevel"/>
    <w:tmpl w:val="80941F2C"/>
    <w:lvl w:ilvl="0" w:tplc="3ED033D4">
      <w:start w:val="1"/>
      <w:numFmt w:val="decimal"/>
      <w:suff w:val="space"/>
      <w:lvlText w:val="%1."/>
      <w:lvlJc w:val="left"/>
      <w:pPr>
        <w:ind w:left="2911" w:hanging="360"/>
      </w:pPr>
      <w:rPr>
        <w:rFonts w:hint="default"/>
        <w:b w:val="0"/>
        <w:strike w:val="0"/>
        <w:color w:val="auto"/>
        <w:sz w:val="28"/>
        <w:szCs w:val="28"/>
      </w:rPr>
    </w:lvl>
    <w:lvl w:ilvl="1" w:tplc="0B8AF396">
      <w:start w:val="1"/>
      <w:numFmt w:val="decimal"/>
      <w:suff w:val="space"/>
      <w:lvlText w:val="%2)"/>
      <w:lvlJc w:val="left"/>
      <w:pPr>
        <w:ind w:left="1789" w:hanging="360"/>
      </w:pPr>
      <w:rPr>
        <w:rFonts w:hint="default"/>
      </w:r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66116004"/>
    <w:multiLevelType w:val="hybridMultilevel"/>
    <w:tmpl w:val="70C83D70"/>
    <w:lvl w:ilvl="0" w:tplc="6018E06A">
      <w:start w:val="5"/>
      <w:numFmt w:val="upperRoman"/>
      <w:lvlText w:val="%1."/>
      <w:lvlJc w:val="left"/>
      <w:pPr>
        <w:ind w:left="1637"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91B7FA1"/>
    <w:multiLevelType w:val="hybridMultilevel"/>
    <w:tmpl w:val="442A4B1E"/>
    <w:lvl w:ilvl="0" w:tplc="7CA8BC8E">
      <w:start w:val="1"/>
      <w:numFmt w:val="decimal"/>
      <w:lvlText w:val="%1."/>
      <w:lvlJc w:val="left"/>
      <w:pPr>
        <w:ind w:left="2487" w:hanging="360"/>
      </w:pPr>
      <w:rPr>
        <w:rFonts w:ascii="Times New Roman" w:hAnsi="Times New Roman" w:cs="Times New Roman" w:hint="default"/>
        <w:color w:val="auto"/>
        <w:sz w:val="28"/>
        <w:szCs w:val="28"/>
      </w:rPr>
    </w:lvl>
    <w:lvl w:ilvl="1" w:tplc="04220011">
      <w:start w:val="1"/>
      <w:numFmt w:val="decimal"/>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8" w15:restartNumberingAfterBreak="0">
    <w:nsid w:val="6E3E1FA3"/>
    <w:multiLevelType w:val="hybridMultilevel"/>
    <w:tmpl w:val="D8E212AC"/>
    <w:lvl w:ilvl="0" w:tplc="4210C2A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1DC6351"/>
    <w:multiLevelType w:val="hybridMultilevel"/>
    <w:tmpl w:val="FAEA754E"/>
    <w:lvl w:ilvl="0" w:tplc="4B9C1B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77D3A51"/>
    <w:multiLevelType w:val="hybridMultilevel"/>
    <w:tmpl w:val="5CB862F4"/>
    <w:lvl w:ilvl="0" w:tplc="04220001">
      <w:start w:val="1"/>
      <w:numFmt w:val="bullet"/>
      <w:lvlText w:val=""/>
      <w:lvlJc w:val="left"/>
      <w:pPr>
        <w:ind w:left="1794" w:hanging="360"/>
      </w:pPr>
      <w:rPr>
        <w:rFonts w:ascii="Symbol" w:hAnsi="Symbol" w:hint="default"/>
      </w:rPr>
    </w:lvl>
    <w:lvl w:ilvl="1" w:tplc="04220003" w:tentative="1">
      <w:start w:val="1"/>
      <w:numFmt w:val="bullet"/>
      <w:lvlText w:val="o"/>
      <w:lvlJc w:val="left"/>
      <w:pPr>
        <w:ind w:left="2514" w:hanging="360"/>
      </w:pPr>
      <w:rPr>
        <w:rFonts w:ascii="Courier New" w:hAnsi="Courier New" w:cs="Courier New" w:hint="default"/>
      </w:rPr>
    </w:lvl>
    <w:lvl w:ilvl="2" w:tplc="04220005" w:tentative="1">
      <w:start w:val="1"/>
      <w:numFmt w:val="bullet"/>
      <w:lvlText w:val=""/>
      <w:lvlJc w:val="left"/>
      <w:pPr>
        <w:ind w:left="3234" w:hanging="360"/>
      </w:pPr>
      <w:rPr>
        <w:rFonts w:ascii="Wingdings" w:hAnsi="Wingdings" w:hint="default"/>
      </w:rPr>
    </w:lvl>
    <w:lvl w:ilvl="3" w:tplc="04220001" w:tentative="1">
      <w:start w:val="1"/>
      <w:numFmt w:val="bullet"/>
      <w:lvlText w:val=""/>
      <w:lvlJc w:val="left"/>
      <w:pPr>
        <w:ind w:left="3954" w:hanging="360"/>
      </w:pPr>
      <w:rPr>
        <w:rFonts w:ascii="Symbol" w:hAnsi="Symbol" w:hint="default"/>
      </w:rPr>
    </w:lvl>
    <w:lvl w:ilvl="4" w:tplc="04220003" w:tentative="1">
      <w:start w:val="1"/>
      <w:numFmt w:val="bullet"/>
      <w:lvlText w:val="o"/>
      <w:lvlJc w:val="left"/>
      <w:pPr>
        <w:ind w:left="4674" w:hanging="360"/>
      </w:pPr>
      <w:rPr>
        <w:rFonts w:ascii="Courier New" w:hAnsi="Courier New" w:cs="Courier New" w:hint="default"/>
      </w:rPr>
    </w:lvl>
    <w:lvl w:ilvl="5" w:tplc="04220005" w:tentative="1">
      <w:start w:val="1"/>
      <w:numFmt w:val="bullet"/>
      <w:lvlText w:val=""/>
      <w:lvlJc w:val="left"/>
      <w:pPr>
        <w:ind w:left="5394" w:hanging="360"/>
      </w:pPr>
      <w:rPr>
        <w:rFonts w:ascii="Wingdings" w:hAnsi="Wingdings" w:hint="default"/>
      </w:rPr>
    </w:lvl>
    <w:lvl w:ilvl="6" w:tplc="04220001" w:tentative="1">
      <w:start w:val="1"/>
      <w:numFmt w:val="bullet"/>
      <w:lvlText w:val=""/>
      <w:lvlJc w:val="left"/>
      <w:pPr>
        <w:ind w:left="6114" w:hanging="360"/>
      </w:pPr>
      <w:rPr>
        <w:rFonts w:ascii="Symbol" w:hAnsi="Symbol" w:hint="default"/>
      </w:rPr>
    </w:lvl>
    <w:lvl w:ilvl="7" w:tplc="04220003" w:tentative="1">
      <w:start w:val="1"/>
      <w:numFmt w:val="bullet"/>
      <w:lvlText w:val="o"/>
      <w:lvlJc w:val="left"/>
      <w:pPr>
        <w:ind w:left="6834" w:hanging="360"/>
      </w:pPr>
      <w:rPr>
        <w:rFonts w:ascii="Courier New" w:hAnsi="Courier New" w:cs="Courier New" w:hint="default"/>
      </w:rPr>
    </w:lvl>
    <w:lvl w:ilvl="8" w:tplc="04220005" w:tentative="1">
      <w:start w:val="1"/>
      <w:numFmt w:val="bullet"/>
      <w:lvlText w:val=""/>
      <w:lvlJc w:val="left"/>
      <w:pPr>
        <w:ind w:left="7554" w:hanging="360"/>
      </w:pPr>
      <w:rPr>
        <w:rFonts w:ascii="Wingdings" w:hAnsi="Wingdings" w:hint="default"/>
      </w:rPr>
    </w:lvl>
  </w:abstractNum>
  <w:num w:numId="1">
    <w:abstractNumId w:val="14"/>
  </w:num>
  <w:num w:numId="2">
    <w:abstractNumId w:val="2"/>
  </w:num>
  <w:num w:numId="3">
    <w:abstractNumId w:val="8"/>
  </w:num>
  <w:num w:numId="4">
    <w:abstractNumId w:val="6"/>
  </w:num>
  <w:num w:numId="5">
    <w:abstractNumId w:val="10"/>
  </w:num>
  <w:num w:numId="6">
    <w:abstractNumId w:val="18"/>
  </w:num>
  <w:num w:numId="7">
    <w:abstractNumId w:val="7"/>
  </w:num>
  <w:num w:numId="8">
    <w:abstractNumId w:val="17"/>
  </w:num>
  <w:num w:numId="9">
    <w:abstractNumId w:val="19"/>
  </w:num>
  <w:num w:numId="10">
    <w:abstractNumId w:val="0"/>
  </w:num>
  <w:num w:numId="11">
    <w:abstractNumId w:val="12"/>
  </w:num>
  <w:num w:numId="12">
    <w:abstractNumId w:val="4"/>
  </w:num>
  <w:num w:numId="13">
    <w:abstractNumId w:val="3"/>
  </w:num>
  <w:num w:numId="14">
    <w:abstractNumId w:val="5"/>
  </w:num>
  <w:num w:numId="15">
    <w:abstractNumId w:val="20"/>
  </w:num>
  <w:num w:numId="16">
    <w:abstractNumId w:val="16"/>
  </w:num>
  <w:num w:numId="17">
    <w:abstractNumId w:val="13"/>
  </w:num>
  <w:num w:numId="18">
    <w:abstractNumId w:val="15"/>
  </w:num>
  <w:num w:numId="19">
    <w:abstractNumId w:val="11"/>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CF"/>
    <w:rsid w:val="00001A54"/>
    <w:rsid w:val="00010C69"/>
    <w:rsid w:val="000256B6"/>
    <w:rsid w:val="00034064"/>
    <w:rsid w:val="00036C72"/>
    <w:rsid w:val="00040352"/>
    <w:rsid w:val="00045706"/>
    <w:rsid w:val="000658DE"/>
    <w:rsid w:val="0007024E"/>
    <w:rsid w:val="00071164"/>
    <w:rsid w:val="00072EEA"/>
    <w:rsid w:val="00080F88"/>
    <w:rsid w:val="00082A68"/>
    <w:rsid w:val="000926A3"/>
    <w:rsid w:val="00092774"/>
    <w:rsid w:val="000A4065"/>
    <w:rsid w:val="000A52EE"/>
    <w:rsid w:val="000B0A56"/>
    <w:rsid w:val="000B14E2"/>
    <w:rsid w:val="000B2A81"/>
    <w:rsid w:val="000B7424"/>
    <w:rsid w:val="000C360E"/>
    <w:rsid w:val="000D0E62"/>
    <w:rsid w:val="000D3BE5"/>
    <w:rsid w:val="000D5081"/>
    <w:rsid w:val="000E422C"/>
    <w:rsid w:val="000F003E"/>
    <w:rsid w:val="000F277F"/>
    <w:rsid w:val="000F4E4B"/>
    <w:rsid w:val="000F6DA9"/>
    <w:rsid w:val="000F7DEB"/>
    <w:rsid w:val="00103761"/>
    <w:rsid w:val="001047D5"/>
    <w:rsid w:val="00122618"/>
    <w:rsid w:val="00127624"/>
    <w:rsid w:val="00130B9B"/>
    <w:rsid w:val="00140181"/>
    <w:rsid w:val="001409F0"/>
    <w:rsid w:val="001478A5"/>
    <w:rsid w:val="001521B9"/>
    <w:rsid w:val="00154B84"/>
    <w:rsid w:val="00157AEC"/>
    <w:rsid w:val="00162058"/>
    <w:rsid w:val="00162991"/>
    <w:rsid w:val="001632D3"/>
    <w:rsid w:val="00164BC9"/>
    <w:rsid w:val="0016580A"/>
    <w:rsid w:val="0018125B"/>
    <w:rsid w:val="00181CF1"/>
    <w:rsid w:val="001927F5"/>
    <w:rsid w:val="001935DE"/>
    <w:rsid w:val="0019489B"/>
    <w:rsid w:val="001A032C"/>
    <w:rsid w:val="001A4665"/>
    <w:rsid w:val="001A6C59"/>
    <w:rsid w:val="001B6030"/>
    <w:rsid w:val="001C1C61"/>
    <w:rsid w:val="001C426C"/>
    <w:rsid w:val="001E12A7"/>
    <w:rsid w:val="001E5C9D"/>
    <w:rsid w:val="001E7E8F"/>
    <w:rsid w:val="001F52A8"/>
    <w:rsid w:val="001F762F"/>
    <w:rsid w:val="00200D7A"/>
    <w:rsid w:val="00202D39"/>
    <w:rsid w:val="00205B51"/>
    <w:rsid w:val="00211DC8"/>
    <w:rsid w:val="002126D3"/>
    <w:rsid w:val="002138C3"/>
    <w:rsid w:val="00214525"/>
    <w:rsid w:val="00215C4A"/>
    <w:rsid w:val="00215F82"/>
    <w:rsid w:val="0022046F"/>
    <w:rsid w:val="002225E1"/>
    <w:rsid w:val="00232F4E"/>
    <w:rsid w:val="00233DFC"/>
    <w:rsid w:val="0023681D"/>
    <w:rsid w:val="00240A0E"/>
    <w:rsid w:val="00244190"/>
    <w:rsid w:val="00257F3B"/>
    <w:rsid w:val="00263964"/>
    <w:rsid w:val="00267BE3"/>
    <w:rsid w:val="00273B16"/>
    <w:rsid w:val="002769FC"/>
    <w:rsid w:val="002823DB"/>
    <w:rsid w:val="00291E66"/>
    <w:rsid w:val="002A0991"/>
    <w:rsid w:val="002A2CAB"/>
    <w:rsid w:val="002C2572"/>
    <w:rsid w:val="002C4000"/>
    <w:rsid w:val="002C4B55"/>
    <w:rsid w:val="002C70E4"/>
    <w:rsid w:val="002E2D37"/>
    <w:rsid w:val="002F2203"/>
    <w:rsid w:val="002F2F57"/>
    <w:rsid w:val="00307A99"/>
    <w:rsid w:val="00315041"/>
    <w:rsid w:val="00327D0F"/>
    <w:rsid w:val="00333A2F"/>
    <w:rsid w:val="00350AE8"/>
    <w:rsid w:val="00355012"/>
    <w:rsid w:val="00357210"/>
    <w:rsid w:val="00362CDD"/>
    <w:rsid w:val="00367AC4"/>
    <w:rsid w:val="00373FCA"/>
    <w:rsid w:val="00374EA6"/>
    <w:rsid w:val="0037520C"/>
    <w:rsid w:val="003759E4"/>
    <w:rsid w:val="00385667"/>
    <w:rsid w:val="00385A3C"/>
    <w:rsid w:val="00390303"/>
    <w:rsid w:val="00391A41"/>
    <w:rsid w:val="00393AC9"/>
    <w:rsid w:val="0039526B"/>
    <w:rsid w:val="003B66CA"/>
    <w:rsid w:val="003B66D7"/>
    <w:rsid w:val="003D2082"/>
    <w:rsid w:val="003D5E7E"/>
    <w:rsid w:val="003E2D7C"/>
    <w:rsid w:val="003E4F19"/>
    <w:rsid w:val="003E6269"/>
    <w:rsid w:val="003E6659"/>
    <w:rsid w:val="003F0564"/>
    <w:rsid w:val="003F2809"/>
    <w:rsid w:val="003F5B35"/>
    <w:rsid w:val="00401FF0"/>
    <w:rsid w:val="00402018"/>
    <w:rsid w:val="00404F1C"/>
    <w:rsid w:val="004054FD"/>
    <w:rsid w:val="00413A93"/>
    <w:rsid w:val="00413FCB"/>
    <w:rsid w:val="00422392"/>
    <w:rsid w:val="00422D47"/>
    <w:rsid w:val="004237D3"/>
    <w:rsid w:val="00426D17"/>
    <w:rsid w:val="00436C19"/>
    <w:rsid w:val="00437E51"/>
    <w:rsid w:val="004409F5"/>
    <w:rsid w:val="00444B51"/>
    <w:rsid w:val="00445BF6"/>
    <w:rsid w:val="004468DD"/>
    <w:rsid w:val="00452465"/>
    <w:rsid w:val="00460E64"/>
    <w:rsid w:val="00464189"/>
    <w:rsid w:val="00465F4A"/>
    <w:rsid w:val="004714C9"/>
    <w:rsid w:val="00472EFB"/>
    <w:rsid w:val="004736FD"/>
    <w:rsid w:val="00475994"/>
    <w:rsid w:val="00475C0E"/>
    <w:rsid w:val="004769B6"/>
    <w:rsid w:val="00481BB1"/>
    <w:rsid w:val="00481D75"/>
    <w:rsid w:val="004829F7"/>
    <w:rsid w:val="0048784D"/>
    <w:rsid w:val="004951EE"/>
    <w:rsid w:val="0049748E"/>
    <w:rsid w:val="00497BDD"/>
    <w:rsid w:val="004A5AC2"/>
    <w:rsid w:val="004A6A2C"/>
    <w:rsid w:val="004B3B25"/>
    <w:rsid w:val="004B697E"/>
    <w:rsid w:val="004D1DAD"/>
    <w:rsid w:val="004D2F4C"/>
    <w:rsid w:val="004D4F9F"/>
    <w:rsid w:val="004D5465"/>
    <w:rsid w:val="004D7E69"/>
    <w:rsid w:val="004E4026"/>
    <w:rsid w:val="004E713D"/>
    <w:rsid w:val="004F514C"/>
    <w:rsid w:val="004F6926"/>
    <w:rsid w:val="00501DB1"/>
    <w:rsid w:val="00511059"/>
    <w:rsid w:val="005115E2"/>
    <w:rsid w:val="00516B93"/>
    <w:rsid w:val="005170DA"/>
    <w:rsid w:val="0051787F"/>
    <w:rsid w:val="00522F69"/>
    <w:rsid w:val="005230B0"/>
    <w:rsid w:val="0052478E"/>
    <w:rsid w:val="00535848"/>
    <w:rsid w:val="00542C2E"/>
    <w:rsid w:val="00552CE6"/>
    <w:rsid w:val="00552F86"/>
    <w:rsid w:val="00563D58"/>
    <w:rsid w:val="00564427"/>
    <w:rsid w:val="00566D84"/>
    <w:rsid w:val="0056705E"/>
    <w:rsid w:val="00570268"/>
    <w:rsid w:val="00570FE0"/>
    <w:rsid w:val="00573E68"/>
    <w:rsid w:val="00580A3B"/>
    <w:rsid w:val="00585699"/>
    <w:rsid w:val="00586D3E"/>
    <w:rsid w:val="0059036F"/>
    <w:rsid w:val="005946E7"/>
    <w:rsid w:val="005A1AAA"/>
    <w:rsid w:val="005A1E27"/>
    <w:rsid w:val="005A3762"/>
    <w:rsid w:val="005A4971"/>
    <w:rsid w:val="005A75A6"/>
    <w:rsid w:val="005B0CA0"/>
    <w:rsid w:val="005B15AB"/>
    <w:rsid w:val="005B27C4"/>
    <w:rsid w:val="005B337C"/>
    <w:rsid w:val="005C0907"/>
    <w:rsid w:val="005C146B"/>
    <w:rsid w:val="005C2E7D"/>
    <w:rsid w:val="005C40FE"/>
    <w:rsid w:val="005C7D1F"/>
    <w:rsid w:val="005E2803"/>
    <w:rsid w:val="005E3DA8"/>
    <w:rsid w:val="005F3EE1"/>
    <w:rsid w:val="00601B25"/>
    <w:rsid w:val="00604E26"/>
    <w:rsid w:val="00606ADE"/>
    <w:rsid w:val="0062101A"/>
    <w:rsid w:val="0062422D"/>
    <w:rsid w:val="00637878"/>
    <w:rsid w:val="006423A2"/>
    <w:rsid w:val="0065019E"/>
    <w:rsid w:val="00673AD4"/>
    <w:rsid w:val="0067406C"/>
    <w:rsid w:val="0068691B"/>
    <w:rsid w:val="00687261"/>
    <w:rsid w:val="0068764A"/>
    <w:rsid w:val="006902C6"/>
    <w:rsid w:val="00694C02"/>
    <w:rsid w:val="006A34E0"/>
    <w:rsid w:val="006A7E6E"/>
    <w:rsid w:val="006B1DB1"/>
    <w:rsid w:val="006B4D5F"/>
    <w:rsid w:val="006B6445"/>
    <w:rsid w:val="006C2045"/>
    <w:rsid w:val="006D17E8"/>
    <w:rsid w:val="006E4BEE"/>
    <w:rsid w:val="006F1678"/>
    <w:rsid w:val="006F1EEC"/>
    <w:rsid w:val="00702581"/>
    <w:rsid w:val="00724951"/>
    <w:rsid w:val="00736DB2"/>
    <w:rsid w:val="0074003F"/>
    <w:rsid w:val="007417E8"/>
    <w:rsid w:val="00757FF5"/>
    <w:rsid w:val="0076208F"/>
    <w:rsid w:val="0076287B"/>
    <w:rsid w:val="00766D85"/>
    <w:rsid w:val="0077403B"/>
    <w:rsid w:val="00785244"/>
    <w:rsid w:val="00791CA2"/>
    <w:rsid w:val="007964D6"/>
    <w:rsid w:val="007977F2"/>
    <w:rsid w:val="007A217D"/>
    <w:rsid w:val="007A2B7B"/>
    <w:rsid w:val="007A4C92"/>
    <w:rsid w:val="007A52E5"/>
    <w:rsid w:val="007A756C"/>
    <w:rsid w:val="007B1BA1"/>
    <w:rsid w:val="007B29E8"/>
    <w:rsid w:val="007B31F7"/>
    <w:rsid w:val="007B7DEB"/>
    <w:rsid w:val="007B7EEB"/>
    <w:rsid w:val="007C34D7"/>
    <w:rsid w:val="007C675C"/>
    <w:rsid w:val="007F2AC9"/>
    <w:rsid w:val="007F391B"/>
    <w:rsid w:val="00805D3F"/>
    <w:rsid w:val="00812D85"/>
    <w:rsid w:val="00815D94"/>
    <w:rsid w:val="00816B80"/>
    <w:rsid w:val="00825226"/>
    <w:rsid w:val="00825C2D"/>
    <w:rsid w:val="00825E5F"/>
    <w:rsid w:val="00827AD1"/>
    <w:rsid w:val="00836E62"/>
    <w:rsid w:val="00837544"/>
    <w:rsid w:val="00845249"/>
    <w:rsid w:val="00845517"/>
    <w:rsid w:val="0084625E"/>
    <w:rsid w:val="008465FA"/>
    <w:rsid w:val="00847941"/>
    <w:rsid w:val="00851624"/>
    <w:rsid w:val="00851DE9"/>
    <w:rsid w:val="00861809"/>
    <w:rsid w:val="00862380"/>
    <w:rsid w:val="00862414"/>
    <w:rsid w:val="0086285E"/>
    <w:rsid w:val="00863F0C"/>
    <w:rsid w:val="00876545"/>
    <w:rsid w:val="00877D42"/>
    <w:rsid w:val="008802E5"/>
    <w:rsid w:val="0089302F"/>
    <w:rsid w:val="008976A1"/>
    <w:rsid w:val="008A2BFD"/>
    <w:rsid w:val="008B63C3"/>
    <w:rsid w:val="008C0810"/>
    <w:rsid w:val="008C6292"/>
    <w:rsid w:val="008C6D43"/>
    <w:rsid w:val="008C7EA0"/>
    <w:rsid w:val="008D42EF"/>
    <w:rsid w:val="008F6388"/>
    <w:rsid w:val="0090351B"/>
    <w:rsid w:val="0090375E"/>
    <w:rsid w:val="00911123"/>
    <w:rsid w:val="0091688E"/>
    <w:rsid w:val="00923801"/>
    <w:rsid w:val="0092672E"/>
    <w:rsid w:val="00927159"/>
    <w:rsid w:val="00935191"/>
    <w:rsid w:val="00943704"/>
    <w:rsid w:val="00953A7C"/>
    <w:rsid w:val="00966EEB"/>
    <w:rsid w:val="00970CC8"/>
    <w:rsid w:val="00973BC4"/>
    <w:rsid w:val="00977017"/>
    <w:rsid w:val="00992427"/>
    <w:rsid w:val="00994C6D"/>
    <w:rsid w:val="009A0CF9"/>
    <w:rsid w:val="009A4F22"/>
    <w:rsid w:val="009A78B1"/>
    <w:rsid w:val="009A7E61"/>
    <w:rsid w:val="009B52C9"/>
    <w:rsid w:val="009B5E23"/>
    <w:rsid w:val="009C0EBC"/>
    <w:rsid w:val="009C389B"/>
    <w:rsid w:val="009E037F"/>
    <w:rsid w:val="009E10D6"/>
    <w:rsid w:val="009F0D6F"/>
    <w:rsid w:val="00A00384"/>
    <w:rsid w:val="00A00D9A"/>
    <w:rsid w:val="00A04F8F"/>
    <w:rsid w:val="00A16812"/>
    <w:rsid w:val="00A16C7B"/>
    <w:rsid w:val="00A21DA9"/>
    <w:rsid w:val="00A35066"/>
    <w:rsid w:val="00A3702B"/>
    <w:rsid w:val="00A467CB"/>
    <w:rsid w:val="00A51C7D"/>
    <w:rsid w:val="00A54C37"/>
    <w:rsid w:val="00A551D9"/>
    <w:rsid w:val="00A5677E"/>
    <w:rsid w:val="00A7395E"/>
    <w:rsid w:val="00A75328"/>
    <w:rsid w:val="00A80B82"/>
    <w:rsid w:val="00A86E39"/>
    <w:rsid w:val="00A969B5"/>
    <w:rsid w:val="00AA1FB4"/>
    <w:rsid w:val="00AA4895"/>
    <w:rsid w:val="00AA7926"/>
    <w:rsid w:val="00AB5A5C"/>
    <w:rsid w:val="00AB5D89"/>
    <w:rsid w:val="00AC18B4"/>
    <w:rsid w:val="00AC376C"/>
    <w:rsid w:val="00AD506E"/>
    <w:rsid w:val="00AE6AFB"/>
    <w:rsid w:val="00AF0B2E"/>
    <w:rsid w:val="00AF0E08"/>
    <w:rsid w:val="00AF3ABC"/>
    <w:rsid w:val="00AF3E76"/>
    <w:rsid w:val="00B07478"/>
    <w:rsid w:val="00B1787A"/>
    <w:rsid w:val="00B24E32"/>
    <w:rsid w:val="00B24F3A"/>
    <w:rsid w:val="00B32691"/>
    <w:rsid w:val="00B360F3"/>
    <w:rsid w:val="00B503EC"/>
    <w:rsid w:val="00B55A53"/>
    <w:rsid w:val="00B651A8"/>
    <w:rsid w:val="00B66632"/>
    <w:rsid w:val="00B66E08"/>
    <w:rsid w:val="00B72B1D"/>
    <w:rsid w:val="00B81E3B"/>
    <w:rsid w:val="00B82521"/>
    <w:rsid w:val="00B828AD"/>
    <w:rsid w:val="00B845BE"/>
    <w:rsid w:val="00B8786E"/>
    <w:rsid w:val="00B96A53"/>
    <w:rsid w:val="00BA10A6"/>
    <w:rsid w:val="00BA47B5"/>
    <w:rsid w:val="00BA5270"/>
    <w:rsid w:val="00BA7750"/>
    <w:rsid w:val="00BB1255"/>
    <w:rsid w:val="00BB2E85"/>
    <w:rsid w:val="00BB3353"/>
    <w:rsid w:val="00BB44F8"/>
    <w:rsid w:val="00BB7CC9"/>
    <w:rsid w:val="00BD24F8"/>
    <w:rsid w:val="00BE0F73"/>
    <w:rsid w:val="00BF034A"/>
    <w:rsid w:val="00BF4877"/>
    <w:rsid w:val="00C0306B"/>
    <w:rsid w:val="00C124B4"/>
    <w:rsid w:val="00C13EC2"/>
    <w:rsid w:val="00C15786"/>
    <w:rsid w:val="00C17DA8"/>
    <w:rsid w:val="00C20F7E"/>
    <w:rsid w:val="00C2369E"/>
    <w:rsid w:val="00C23DD9"/>
    <w:rsid w:val="00C30427"/>
    <w:rsid w:val="00C31A5A"/>
    <w:rsid w:val="00C31DD4"/>
    <w:rsid w:val="00C3748D"/>
    <w:rsid w:val="00C47F03"/>
    <w:rsid w:val="00C7033A"/>
    <w:rsid w:val="00C73E80"/>
    <w:rsid w:val="00C80921"/>
    <w:rsid w:val="00C81F68"/>
    <w:rsid w:val="00C834C8"/>
    <w:rsid w:val="00C84826"/>
    <w:rsid w:val="00C91208"/>
    <w:rsid w:val="00C9788E"/>
    <w:rsid w:val="00CB4871"/>
    <w:rsid w:val="00CB6BFF"/>
    <w:rsid w:val="00CC287D"/>
    <w:rsid w:val="00CC63A5"/>
    <w:rsid w:val="00CD07FB"/>
    <w:rsid w:val="00CD3096"/>
    <w:rsid w:val="00CD76F1"/>
    <w:rsid w:val="00CE10C7"/>
    <w:rsid w:val="00CE297C"/>
    <w:rsid w:val="00CF119E"/>
    <w:rsid w:val="00CF199D"/>
    <w:rsid w:val="00CF211A"/>
    <w:rsid w:val="00D01832"/>
    <w:rsid w:val="00D12393"/>
    <w:rsid w:val="00D17915"/>
    <w:rsid w:val="00D2396C"/>
    <w:rsid w:val="00D23A7E"/>
    <w:rsid w:val="00D249EA"/>
    <w:rsid w:val="00D436A8"/>
    <w:rsid w:val="00D552EA"/>
    <w:rsid w:val="00D62250"/>
    <w:rsid w:val="00D631E7"/>
    <w:rsid w:val="00D725CC"/>
    <w:rsid w:val="00D741E3"/>
    <w:rsid w:val="00D80401"/>
    <w:rsid w:val="00D83F02"/>
    <w:rsid w:val="00D856BA"/>
    <w:rsid w:val="00D86E6E"/>
    <w:rsid w:val="00D927F6"/>
    <w:rsid w:val="00D96F46"/>
    <w:rsid w:val="00DA1329"/>
    <w:rsid w:val="00DA226D"/>
    <w:rsid w:val="00DA2B75"/>
    <w:rsid w:val="00DB18D7"/>
    <w:rsid w:val="00DB4EA1"/>
    <w:rsid w:val="00DB690D"/>
    <w:rsid w:val="00DB6B0E"/>
    <w:rsid w:val="00DC7A1D"/>
    <w:rsid w:val="00DD2BD1"/>
    <w:rsid w:val="00DD3452"/>
    <w:rsid w:val="00DD4CD7"/>
    <w:rsid w:val="00DF19DD"/>
    <w:rsid w:val="00DF4710"/>
    <w:rsid w:val="00E0256D"/>
    <w:rsid w:val="00E0339F"/>
    <w:rsid w:val="00E1028C"/>
    <w:rsid w:val="00E12E20"/>
    <w:rsid w:val="00E2455D"/>
    <w:rsid w:val="00E27320"/>
    <w:rsid w:val="00E328BB"/>
    <w:rsid w:val="00E40AAD"/>
    <w:rsid w:val="00E443CF"/>
    <w:rsid w:val="00E47534"/>
    <w:rsid w:val="00E61815"/>
    <w:rsid w:val="00E6215B"/>
    <w:rsid w:val="00E65265"/>
    <w:rsid w:val="00E70937"/>
    <w:rsid w:val="00E814CF"/>
    <w:rsid w:val="00E83908"/>
    <w:rsid w:val="00E85FB8"/>
    <w:rsid w:val="00E94C02"/>
    <w:rsid w:val="00EA18CA"/>
    <w:rsid w:val="00EA383B"/>
    <w:rsid w:val="00EB1BC2"/>
    <w:rsid w:val="00EC19F4"/>
    <w:rsid w:val="00EC1CD7"/>
    <w:rsid w:val="00ED60BA"/>
    <w:rsid w:val="00ED725A"/>
    <w:rsid w:val="00EE3494"/>
    <w:rsid w:val="00EF2BB1"/>
    <w:rsid w:val="00F00A29"/>
    <w:rsid w:val="00F10746"/>
    <w:rsid w:val="00F12423"/>
    <w:rsid w:val="00F32A4D"/>
    <w:rsid w:val="00F32BDE"/>
    <w:rsid w:val="00F502F6"/>
    <w:rsid w:val="00F5359A"/>
    <w:rsid w:val="00F55F69"/>
    <w:rsid w:val="00F57863"/>
    <w:rsid w:val="00F6328D"/>
    <w:rsid w:val="00F70D14"/>
    <w:rsid w:val="00F8762F"/>
    <w:rsid w:val="00F95F08"/>
    <w:rsid w:val="00FA3B03"/>
    <w:rsid w:val="00FC2DAC"/>
    <w:rsid w:val="00FD33FF"/>
    <w:rsid w:val="00FD4372"/>
    <w:rsid w:val="00FE4D0C"/>
    <w:rsid w:val="00FE6772"/>
    <w:rsid w:val="00FF68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F0921"/>
  <w15:chartTrackingRefBased/>
  <w15:docId w15:val="{DEA84F76-E181-4901-A6A4-985CB159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3CF"/>
    <w:pPr>
      <w:spacing w:after="0" w:line="240" w:lineRule="auto"/>
      <w:jc w:val="both"/>
    </w:pPr>
    <w:rPr>
      <w:rFonts w:ascii="Times New Roman" w:eastAsia="Times New Roman" w:hAnsi="Times New Roman" w:cs="Times New Roman"/>
      <w:sz w:val="28"/>
      <w:szCs w:val="28"/>
      <w:lang w:eastAsia="uk-UA"/>
    </w:rPr>
  </w:style>
  <w:style w:type="paragraph" w:styleId="3">
    <w:name w:val="heading 3"/>
    <w:basedOn w:val="a"/>
    <w:next w:val="a"/>
    <w:link w:val="30"/>
    <w:uiPriority w:val="9"/>
    <w:unhideWhenUsed/>
    <w:qFormat/>
    <w:rsid w:val="00CC287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3C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link w:val="a5"/>
    <w:uiPriority w:val="99"/>
    <w:unhideWhenUsed/>
    <w:rsid w:val="00E443CF"/>
    <w:pPr>
      <w:spacing w:before="100" w:beforeAutospacing="1" w:after="100" w:afterAutospacing="1"/>
      <w:jc w:val="left"/>
    </w:pPr>
    <w:rPr>
      <w:rFonts w:eastAsiaTheme="minorEastAsia"/>
      <w:sz w:val="24"/>
      <w:szCs w:val="24"/>
    </w:rPr>
  </w:style>
  <w:style w:type="character" w:customStyle="1" w:styleId="a5">
    <w:name w:val="Звичайний (веб) Знак"/>
    <w:link w:val="a4"/>
    <w:uiPriority w:val="99"/>
    <w:locked/>
    <w:rsid w:val="00E443CF"/>
    <w:rPr>
      <w:rFonts w:ascii="Times New Roman" w:eastAsiaTheme="minorEastAsia" w:hAnsi="Times New Roman" w:cs="Times New Roman"/>
      <w:sz w:val="24"/>
      <w:szCs w:val="24"/>
      <w:lang w:eastAsia="uk-UA"/>
    </w:rPr>
  </w:style>
  <w:style w:type="character" w:styleId="a6">
    <w:name w:val="Hyperlink"/>
    <w:basedOn w:val="a0"/>
    <w:uiPriority w:val="99"/>
    <w:semiHidden/>
    <w:unhideWhenUsed/>
    <w:rsid w:val="00E443CF"/>
    <w:rPr>
      <w:color w:val="0000FF"/>
      <w:u w:val="single"/>
    </w:rPr>
  </w:style>
  <w:style w:type="paragraph" w:customStyle="1" w:styleId="rvps2">
    <w:name w:val="rvps2"/>
    <w:basedOn w:val="a"/>
    <w:qFormat/>
    <w:rsid w:val="00BD24F8"/>
    <w:pPr>
      <w:spacing w:before="100" w:beforeAutospacing="1" w:after="100" w:afterAutospacing="1"/>
      <w:jc w:val="left"/>
    </w:pPr>
    <w:rPr>
      <w:sz w:val="24"/>
      <w:szCs w:val="24"/>
    </w:rPr>
  </w:style>
  <w:style w:type="paragraph" w:styleId="a7">
    <w:name w:val="Balloon Text"/>
    <w:basedOn w:val="a"/>
    <w:link w:val="a8"/>
    <w:uiPriority w:val="99"/>
    <w:semiHidden/>
    <w:unhideWhenUsed/>
    <w:rsid w:val="00BD24F8"/>
    <w:rPr>
      <w:rFonts w:ascii="Segoe UI" w:hAnsi="Segoe UI" w:cs="Segoe UI"/>
      <w:sz w:val="18"/>
      <w:szCs w:val="18"/>
    </w:rPr>
  </w:style>
  <w:style w:type="character" w:customStyle="1" w:styleId="a8">
    <w:name w:val="Текст у виносці Знак"/>
    <w:basedOn w:val="a0"/>
    <w:link w:val="a7"/>
    <w:uiPriority w:val="99"/>
    <w:semiHidden/>
    <w:rsid w:val="00BD24F8"/>
    <w:rPr>
      <w:rFonts w:ascii="Segoe UI" w:eastAsia="Times New Roman" w:hAnsi="Segoe UI" w:cs="Segoe UI"/>
      <w:sz w:val="18"/>
      <w:szCs w:val="18"/>
      <w:lang w:eastAsia="uk-UA"/>
    </w:rPr>
  </w:style>
  <w:style w:type="character" w:styleId="a9">
    <w:name w:val="annotation reference"/>
    <w:basedOn w:val="a0"/>
    <w:uiPriority w:val="99"/>
    <w:semiHidden/>
    <w:unhideWhenUsed/>
    <w:rsid w:val="001521B9"/>
    <w:rPr>
      <w:sz w:val="16"/>
      <w:szCs w:val="16"/>
    </w:rPr>
  </w:style>
  <w:style w:type="paragraph" w:styleId="aa">
    <w:name w:val="annotation text"/>
    <w:basedOn w:val="a"/>
    <w:link w:val="ab"/>
    <w:uiPriority w:val="99"/>
    <w:unhideWhenUsed/>
    <w:rsid w:val="001521B9"/>
    <w:rPr>
      <w:sz w:val="20"/>
      <w:szCs w:val="20"/>
    </w:rPr>
  </w:style>
  <w:style w:type="character" w:customStyle="1" w:styleId="ab">
    <w:name w:val="Текст примітки Знак"/>
    <w:basedOn w:val="a0"/>
    <w:link w:val="aa"/>
    <w:uiPriority w:val="99"/>
    <w:rsid w:val="001521B9"/>
    <w:rPr>
      <w:rFonts w:ascii="Times New Roman" w:eastAsia="Times New Roman" w:hAnsi="Times New Roman" w:cs="Times New Roman"/>
      <w:sz w:val="20"/>
      <w:szCs w:val="20"/>
      <w:lang w:eastAsia="uk-UA"/>
    </w:rPr>
  </w:style>
  <w:style w:type="paragraph" w:styleId="ac">
    <w:name w:val="annotation subject"/>
    <w:basedOn w:val="aa"/>
    <w:next w:val="aa"/>
    <w:link w:val="ad"/>
    <w:uiPriority w:val="99"/>
    <w:semiHidden/>
    <w:unhideWhenUsed/>
    <w:rsid w:val="001521B9"/>
    <w:rPr>
      <w:b/>
      <w:bCs/>
    </w:rPr>
  </w:style>
  <w:style w:type="character" w:customStyle="1" w:styleId="ad">
    <w:name w:val="Тема примітки Знак"/>
    <w:basedOn w:val="ab"/>
    <w:link w:val="ac"/>
    <w:uiPriority w:val="99"/>
    <w:semiHidden/>
    <w:rsid w:val="001521B9"/>
    <w:rPr>
      <w:rFonts w:ascii="Times New Roman" w:eastAsia="Times New Roman" w:hAnsi="Times New Roman" w:cs="Times New Roman"/>
      <w:b/>
      <w:bCs/>
      <w:sz w:val="20"/>
      <w:szCs w:val="20"/>
      <w:lang w:eastAsia="uk-UA"/>
    </w:rPr>
  </w:style>
  <w:style w:type="character" w:customStyle="1" w:styleId="rvts9">
    <w:name w:val="rvts9"/>
    <w:basedOn w:val="a0"/>
    <w:rsid w:val="00080F88"/>
  </w:style>
  <w:style w:type="character" w:customStyle="1" w:styleId="30">
    <w:name w:val="Заголовок 3 Знак"/>
    <w:basedOn w:val="a0"/>
    <w:link w:val="3"/>
    <w:uiPriority w:val="9"/>
    <w:rsid w:val="00CC287D"/>
    <w:rPr>
      <w:rFonts w:asciiTheme="majorHAnsi" w:eastAsiaTheme="majorEastAsia" w:hAnsiTheme="majorHAnsi" w:cstheme="majorBidi"/>
      <w:color w:val="1F4D78" w:themeColor="accent1" w:themeShade="7F"/>
      <w:sz w:val="24"/>
      <w:szCs w:val="24"/>
      <w:lang w:eastAsia="uk-UA"/>
    </w:rPr>
  </w:style>
  <w:style w:type="paragraph" w:styleId="ae">
    <w:name w:val="List Paragraph"/>
    <w:aliases w:val="Bullets,Normal bullet 2,Heading Bullet,Number normal,Number Normal,text bullet,List Numbers,Elenco Normale,List Paragraph - sub title,Абзац списку1"/>
    <w:basedOn w:val="a"/>
    <w:link w:val="af"/>
    <w:uiPriority w:val="34"/>
    <w:qFormat/>
    <w:rsid w:val="00CC287D"/>
    <w:pPr>
      <w:ind w:left="720"/>
      <w:contextualSpacing/>
    </w:pPr>
  </w:style>
  <w:style w:type="character" w:customStyle="1" w:styleId="af">
    <w:name w:val="Абзац списку Знак"/>
    <w:aliases w:val="Bullets Знак,Normal bullet 2 Знак,Heading Bullet Знак,Number normal Знак,Number Normal Знак,text bullet Знак,List Numbers Знак,Elenco Normale Знак,List Paragraph - sub title Знак,Абзац списку1 Знак"/>
    <w:link w:val="ae"/>
    <w:uiPriority w:val="34"/>
    <w:qFormat/>
    <w:locked/>
    <w:rsid w:val="00CC287D"/>
    <w:rPr>
      <w:rFonts w:ascii="Times New Roman" w:eastAsia="Times New Roman" w:hAnsi="Times New Roman" w:cs="Times New Roman"/>
      <w:sz w:val="28"/>
      <w:szCs w:val="28"/>
      <w:lang w:eastAsia="uk-UA"/>
    </w:rPr>
  </w:style>
  <w:style w:type="paragraph" w:styleId="af0">
    <w:name w:val="No Spacing"/>
    <w:link w:val="af1"/>
    <w:uiPriority w:val="1"/>
    <w:qFormat/>
    <w:rsid w:val="0076208F"/>
    <w:pPr>
      <w:spacing w:after="0" w:line="240" w:lineRule="auto"/>
      <w:jc w:val="both"/>
    </w:pPr>
    <w:rPr>
      <w:rFonts w:ascii="Times New Roman" w:eastAsia="Times New Roman" w:hAnsi="Times New Roman" w:cs="Times New Roman"/>
      <w:sz w:val="28"/>
      <w:szCs w:val="28"/>
      <w:lang w:eastAsia="uk-UA"/>
    </w:rPr>
  </w:style>
  <w:style w:type="character" w:customStyle="1" w:styleId="af1">
    <w:name w:val="Без інтервалів Знак"/>
    <w:basedOn w:val="a0"/>
    <w:link w:val="af0"/>
    <w:uiPriority w:val="1"/>
    <w:rsid w:val="0076208F"/>
    <w:rPr>
      <w:rFonts w:ascii="Times New Roman" w:eastAsia="Times New Roman" w:hAnsi="Times New Roman" w:cs="Times New Roman"/>
      <w:sz w:val="28"/>
      <w:szCs w:val="28"/>
      <w:lang w:eastAsia="uk-UA"/>
    </w:rPr>
  </w:style>
  <w:style w:type="paragraph" w:styleId="af2">
    <w:name w:val="Revision"/>
    <w:hidden/>
    <w:uiPriority w:val="99"/>
    <w:semiHidden/>
    <w:rsid w:val="007A756C"/>
    <w:pPr>
      <w:spacing w:after="0" w:line="240" w:lineRule="auto"/>
    </w:pPr>
    <w:rPr>
      <w:rFonts w:ascii="Times New Roman" w:eastAsia="Times New Roman" w:hAnsi="Times New Roman" w:cs="Times New Roman"/>
      <w:sz w:val="28"/>
      <w:szCs w:val="28"/>
      <w:lang w:eastAsia="uk-UA"/>
    </w:rPr>
  </w:style>
  <w:style w:type="paragraph" w:customStyle="1" w:styleId="Default">
    <w:name w:val="Default"/>
    <w:qFormat/>
    <w:rsid w:val="00E814CF"/>
    <w:pPr>
      <w:suppressAutoHyphens/>
      <w:spacing w:after="0" w:line="240" w:lineRule="auto"/>
    </w:pPr>
    <w:rPr>
      <w:rFonts w:ascii="Times New Roman" w:eastAsia="Calibri" w:hAnsi="Times New Roman" w:cs="Times New Roman"/>
      <w:color w:val="000000"/>
      <w:sz w:val="24"/>
      <w:szCs w:val="24"/>
      <w:lang w:eastAsia="zh-CN"/>
    </w:rPr>
  </w:style>
  <w:style w:type="table" w:customStyle="1" w:styleId="1">
    <w:name w:val="Сітка таблиці1"/>
    <w:basedOn w:val="a1"/>
    <w:next w:val="a3"/>
    <w:uiPriority w:val="59"/>
    <w:rsid w:val="00F502F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37">
    <w:name w:val="rvts37"/>
    <w:basedOn w:val="a0"/>
    <w:rsid w:val="00C17DA8"/>
  </w:style>
  <w:style w:type="character" w:customStyle="1" w:styleId="rvts40">
    <w:name w:val="rvts40"/>
    <w:basedOn w:val="a0"/>
    <w:rsid w:val="00C17DA8"/>
  </w:style>
  <w:style w:type="character" w:customStyle="1" w:styleId="st82">
    <w:name w:val="st82"/>
    <w:uiPriority w:val="99"/>
    <w:rsid w:val="00267BE3"/>
    <w:rPr>
      <w:color w:val="000000"/>
      <w:sz w:val="20"/>
      <w:szCs w:val="20"/>
    </w:rPr>
  </w:style>
  <w:style w:type="paragraph" w:customStyle="1" w:styleId="rvps7">
    <w:name w:val="rvps7"/>
    <w:basedOn w:val="a"/>
    <w:rsid w:val="00C2369E"/>
    <w:pPr>
      <w:spacing w:before="100" w:beforeAutospacing="1" w:after="100" w:afterAutospacing="1"/>
      <w:jc w:val="left"/>
    </w:pPr>
    <w:rPr>
      <w:sz w:val="24"/>
      <w:szCs w:val="24"/>
    </w:rPr>
  </w:style>
  <w:style w:type="paragraph" w:customStyle="1" w:styleId="rvps14">
    <w:name w:val="rvps14"/>
    <w:basedOn w:val="a"/>
    <w:rsid w:val="003B66CA"/>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6160">
      <w:bodyDiv w:val="1"/>
      <w:marLeft w:val="0"/>
      <w:marRight w:val="0"/>
      <w:marTop w:val="0"/>
      <w:marBottom w:val="0"/>
      <w:divBdr>
        <w:top w:val="none" w:sz="0" w:space="0" w:color="auto"/>
        <w:left w:val="none" w:sz="0" w:space="0" w:color="auto"/>
        <w:bottom w:val="none" w:sz="0" w:space="0" w:color="auto"/>
        <w:right w:val="none" w:sz="0" w:space="0" w:color="auto"/>
      </w:divBdr>
    </w:div>
    <w:div w:id="166213104">
      <w:bodyDiv w:val="1"/>
      <w:marLeft w:val="0"/>
      <w:marRight w:val="0"/>
      <w:marTop w:val="0"/>
      <w:marBottom w:val="0"/>
      <w:divBdr>
        <w:top w:val="none" w:sz="0" w:space="0" w:color="auto"/>
        <w:left w:val="none" w:sz="0" w:space="0" w:color="auto"/>
        <w:bottom w:val="none" w:sz="0" w:space="0" w:color="auto"/>
        <w:right w:val="none" w:sz="0" w:space="0" w:color="auto"/>
      </w:divBdr>
    </w:div>
    <w:div w:id="169755361">
      <w:bodyDiv w:val="1"/>
      <w:marLeft w:val="0"/>
      <w:marRight w:val="0"/>
      <w:marTop w:val="0"/>
      <w:marBottom w:val="0"/>
      <w:divBdr>
        <w:top w:val="none" w:sz="0" w:space="0" w:color="auto"/>
        <w:left w:val="none" w:sz="0" w:space="0" w:color="auto"/>
        <w:bottom w:val="none" w:sz="0" w:space="0" w:color="auto"/>
        <w:right w:val="none" w:sz="0" w:space="0" w:color="auto"/>
      </w:divBdr>
    </w:div>
    <w:div w:id="178811537">
      <w:bodyDiv w:val="1"/>
      <w:marLeft w:val="0"/>
      <w:marRight w:val="0"/>
      <w:marTop w:val="0"/>
      <w:marBottom w:val="0"/>
      <w:divBdr>
        <w:top w:val="none" w:sz="0" w:space="0" w:color="auto"/>
        <w:left w:val="none" w:sz="0" w:space="0" w:color="auto"/>
        <w:bottom w:val="none" w:sz="0" w:space="0" w:color="auto"/>
        <w:right w:val="none" w:sz="0" w:space="0" w:color="auto"/>
      </w:divBdr>
    </w:div>
    <w:div w:id="213322390">
      <w:bodyDiv w:val="1"/>
      <w:marLeft w:val="0"/>
      <w:marRight w:val="0"/>
      <w:marTop w:val="0"/>
      <w:marBottom w:val="0"/>
      <w:divBdr>
        <w:top w:val="none" w:sz="0" w:space="0" w:color="auto"/>
        <w:left w:val="none" w:sz="0" w:space="0" w:color="auto"/>
        <w:bottom w:val="none" w:sz="0" w:space="0" w:color="auto"/>
        <w:right w:val="none" w:sz="0" w:space="0" w:color="auto"/>
      </w:divBdr>
    </w:div>
    <w:div w:id="236207671">
      <w:bodyDiv w:val="1"/>
      <w:marLeft w:val="0"/>
      <w:marRight w:val="0"/>
      <w:marTop w:val="0"/>
      <w:marBottom w:val="0"/>
      <w:divBdr>
        <w:top w:val="none" w:sz="0" w:space="0" w:color="auto"/>
        <w:left w:val="none" w:sz="0" w:space="0" w:color="auto"/>
        <w:bottom w:val="none" w:sz="0" w:space="0" w:color="auto"/>
        <w:right w:val="none" w:sz="0" w:space="0" w:color="auto"/>
      </w:divBdr>
    </w:div>
    <w:div w:id="412823252">
      <w:bodyDiv w:val="1"/>
      <w:marLeft w:val="0"/>
      <w:marRight w:val="0"/>
      <w:marTop w:val="0"/>
      <w:marBottom w:val="0"/>
      <w:divBdr>
        <w:top w:val="none" w:sz="0" w:space="0" w:color="auto"/>
        <w:left w:val="none" w:sz="0" w:space="0" w:color="auto"/>
        <w:bottom w:val="none" w:sz="0" w:space="0" w:color="auto"/>
        <w:right w:val="none" w:sz="0" w:space="0" w:color="auto"/>
      </w:divBdr>
    </w:div>
    <w:div w:id="438599155">
      <w:bodyDiv w:val="1"/>
      <w:marLeft w:val="0"/>
      <w:marRight w:val="0"/>
      <w:marTop w:val="0"/>
      <w:marBottom w:val="0"/>
      <w:divBdr>
        <w:top w:val="none" w:sz="0" w:space="0" w:color="auto"/>
        <w:left w:val="none" w:sz="0" w:space="0" w:color="auto"/>
        <w:bottom w:val="none" w:sz="0" w:space="0" w:color="auto"/>
        <w:right w:val="none" w:sz="0" w:space="0" w:color="auto"/>
      </w:divBdr>
    </w:div>
    <w:div w:id="490022425">
      <w:bodyDiv w:val="1"/>
      <w:marLeft w:val="0"/>
      <w:marRight w:val="0"/>
      <w:marTop w:val="0"/>
      <w:marBottom w:val="0"/>
      <w:divBdr>
        <w:top w:val="none" w:sz="0" w:space="0" w:color="auto"/>
        <w:left w:val="none" w:sz="0" w:space="0" w:color="auto"/>
        <w:bottom w:val="none" w:sz="0" w:space="0" w:color="auto"/>
        <w:right w:val="none" w:sz="0" w:space="0" w:color="auto"/>
      </w:divBdr>
    </w:div>
    <w:div w:id="616252806">
      <w:bodyDiv w:val="1"/>
      <w:marLeft w:val="0"/>
      <w:marRight w:val="0"/>
      <w:marTop w:val="0"/>
      <w:marBottom w:val="0"/>
      <w:divBdr>
        <w:top w:val="none" w:sz="0" w:space="0" w:color="auto"/>
        <w:left w:val="none" w:sz="0" w:space="0" w:color="auto"/>
        <w:bottom w:val="none" w:sz="0" w:space="0" w:color="auto"/>
        <w:right w:val="none" w:sz="0" w:space="0" w:color="auto"/>
      </w:divBdr>
    </w:div>
    <w:div w:id="650448681">
      <w:bodyDiv w:val="1"/>
      <w:marLeft w:val="0"/>
      <w:marRight w:val="0"/>
      <w:marTop w:val="0"/>
      <w:marBottom w:val="0"/>
      <w:divBdr>
        <w:top w:val="none" w:sz="0" w:space="0" w:color="auto"/>
        <w:left w:val="none" w:sz="0" w:space="0" w:color="auto"/>
        <w:bottom w:val="none" w:sz="0" w:space="0" w:color="auto"/>
        <w:right w:val="none" w:sz="0" w:space="0" w:color="auto"/>
      </w:divBdr>
    </w:div>
    <w:div w:id="666860843">
      <w:bodyDiv w:val="1"/>
      <w:marLeft w:val="0"/>
      <w:marRight w:val="0"/>
      <w:marTop w:val="0"/>
      <w:marBottom w:val="0"/>
      <w:divBdr>
        <w:top w:val="none" w:sz="0" w:space="0" w:color="auto"/>
        <w:left w:val="none" w:sz="0" w:space="0" w:color="auto"/>
        <w:bottom w:val="none" w:sz="0" w:space="0" w:color="auto"/>
        <w:right w:val="none" w:sz="0" w:space="0" w:color="auto"/>
      </w:divBdr>
    </w:div>
    <w:div w:id="712967834">
      <w:bodyDiv w:val="1"/>
      <w:marLeft w:val="0"/>
      <w:marRight w:val="0"/>
      <w:marTop w:val="0"/>
      <w:marBottom w:val="0"/>
      <w:divBdr>
        <w:top w:val="none" w:sz="0" w:space="0" w:color="auto"/>
        <w:left w:val="none" w:sz="0" w:space="0" w:color="auto"/>
        <w:bottom w:val="none" w:sz="0" w:space="0" w:color="auto"/>
        <w:right w:val="none" w:sz="0" w:space="0" w:color="auto"/>
      </w:divBdr>
    </w:div>
    <w:div w:id="725376826">
      <w:bodyDiv w:val="1"/>
      <w:marLeft w:val="0"/>
      <w:marRight w:val="0"/>
      <w:marTop w:val="0"/>
      <w:marBottom w:val="0"/>
      <w:divBdr>
        <w:top w:val="none" w:sz="0" w:space="0" w:color="auto"/>
        <w:left w:val="none" w:sz="0" w:space="0" w:color="auto"/>
        <w:bottom w:val="none" w:sz="0" w:space="0" w:color="auto"/>
        <w:right w:val="none" w:sz="0" w:space="0" w:color="auto"/>
      </w:divBdr>
    </w:div>
    <w:div w:id="765539199">
      <w:bodyDiv w:val="1"/>
      <w:marLeft w:val="0"/>
      <w:marRight w:val="0"/>
      <w:marTop w:val="0"/>
      <w:marBottom w:val="0"/>
      <w:divBdr>
        <w:top w:val="none" w:sz="0" w:space="0" w:color="auto"/>
        <w:left w:val="none" w:sz="0" w:space="0" w:color="auto"/>
        <w:bottom w:val="none" w:sz="0" w:space="0" w:color="auto"/>
        <w:right w:val="none" w:sz="0" w:space="0" w:color="auto"/>
      </w:divBdr>
    </w:div>
    <w:div w:id="804859845">
      <w:bodyDiv w:val="1"/>
      <w:marLeft w:val="0"/>
      <w:marRight w:val="0"/>
      <w:marTop w:val="0"/>
      <w:marBottom w:val="0"/>
      <w:divBdr>
        <w:top w:val="none" w:sz="0" w:space="0" w:color="auto"/>
        <w:left w:val="none" w:sz="0" w:space="0" w:color="auto"/>
        <w:bottom w:val="none" w:sz="0" w:space="0" w:color="auto"/>
        <w:right w:val="none" w:sz="0" w:space="0" w:color="auto"/>
      </w:divBdr>
    </w:div>
    <w:div w:id="1006637863">
      <w:bodyDiv w:val="1"/>
      <w:marLeft w:val="0"/>
      <w:marRight w:val="0"/>
      <w:marTop w:val="0"/>
      <w:marBottom w:val="0"/>
      <w:divBdr>
        <w:top w:val="none" w:sz="0" w:space="0" w:color="auto"/>
        <w:left w:val="none" w:sz="0" w:space="0" w:color="auto"/>
        <w:bottom w:val="none" w:sz="0" w:space="0" w:color="auto"/>
        <w:right w:val="none" w:sz="0" w:space="0" w:color="auto"/>
      </w:divBdr>
    </w:div>
    <w:div w:id="1024752200">
      <w:bodyDiv w:val="1"/>
      <w:marLeft w:val="0"/>
      <w:marRight w:val="0"/>
      <w:marTop w:val="0"/>
      <w:marBottom w:val="0"/>
      <w:divBdr>
        <w:top w:val="none" w:sz="0" w:space="0" w:color="auto"/>
        <w:left w:val="none" w:sz="0" w:space="0" w:color="auto"/>
        <w:bottom w:val="none" w:sz="0" w:space="0" w:color="auto"/>
        <w:right w:val="none" w:sz="0" w:space="0" w:color="auto"/>
      </w:divBdr>
    </w:div>
    <w:div w:id="1193375498">
      <w:bodyDiv w:val="1"/>
      <w:marLeft w:val="0"/>
      <w:marRight w:val="0"/>
      <w:marTop w:val="0"/>
      <w:marBottom w:val="0"/>
      <w:divBdr>
        <w:top w:val="none" w:sz="0" w:space="0" w:color="auto"/>
        <w:left w:val="none" w:sz="0" w:space="0" w:color="auto"/>
        <w:bottom w:val="none" w:sz="0" w:space="0" w:color="auto"/>
        <w:right w:val="none" w:sz="0" w:space="0" w:color="auto"/>
      </w:divBdr>
    </w:div>
    <w:div w:id="1268276513">
      <w:bodyDiv w:val="1"/>
      <w:marLeft w:val="0"/>
      <w:marRight w:val="0"/>
      <w:marTop w:val="0"/>
      <w:marBottom w:val="0"/>
      <w:divBdr>
        <w:top w:val="none" w:sz="0" w:space="0" w:color="auto"/>
        <w:left w:val="none" w:sz="0" w:space="0" w:color="auto"/>
        <w:bottom w:val="none" w:sz="0" w:space="0" w:color="auto"/>
        <w:right w:val="none" w:sz="0" w:space="0" w:color="auto"/>
      </w:divBdr>
    </w:div>
    <w:div w:id="1447194306">
      <w:bodyDiv w:val="1"/>
      <w:marLeft w:val="0"/>
      <w:marRight w:val="0"/>
      <w:marTop w:val="0"/>
      <w:marBottom w:val="0"/>
      <w:divBdr>
        <w:top w:val="none" w:sz="0" w:space="0" w:color="auto"/>
        <w:left w:val="none" w:sz="0" w:space="0" w:color="auto"/>
        <w:bottom w:val="none" w:sz="0" w:space="0" w:color="auto"/>
        <w:right w:val="none" w:sz="0" w:space="0" w:color="auto"/>
      </w:divBdr>
    </w:div>
    <w:div w:id="1547374548">
      <w:bodyDiv w:val="1"/>
      <w:marLeft w:val="0"/>
      <w:marRight w:val="0"/>
      <w:marTop w:val="0"/>
      <w:marBottom w:val="0"/>
      <w:divBdr>
        <w:top w:val="none" w:sz="0" w:space="0" w:color="auto"/>
        <w:left w:val="none" w:sz="0" w:space="0" w:color="auto"/>
        <w:bottom w:val="none" w:sz="0" w:space="0" w:color="auto"/>
        <w:right w:val="none" w:sz="0" w:space="0" w:color="auto"/>
      </w:divBdr>
    </w:div>
    <w:div w:id="1620839480">
      <w:bodyDiv w:val="1"/>
      <w:marLeft w:val="0"/>
      <w:marRight w:val="0"/>
      <w:marTop w:val="0"/>
      <w:marBottom w:val="0"/>
      <w:divBdr>
        <w:top w:val="none" w:sz="0" w:space="0" w:color="auto"/>
        <w:left w:val="none" w:sz="0" w:space="0" w:color="auto"/>
        <w:bottom w:val="none" w:sz="0" w:space="0" w:color="auto"/>
        <w:right w:val="none" w:sz="0" w:space="0" w:color="auto"/>
      </w:divBdr>
    </w:div>
    <w:div w:id="1659310390">
      <w:bodyDiv w:val="1"/>
      <w:marLeft w:val="0"/>
      <w:marRight w:val="0"/>
      <w:marTop w:val="0"/>
      <w:marBottom w:val="0"/>
      <w:divBdr>
        <w:top w:val="none" w:sz="0" w:space="0" w:color="auto"/>
        <w:left w:val="none" w:sz="0" w:space="0" w:color="auto"/>
        <w:bottom w:val="none" w:sz="0" w:space="0" w:color="auto"/>
        <w:right w:val="none" w:sz="0" w:space="0" w:color="auto"/>
      </w:divBdr>
    </w:div>
    <w:div w:id="1705129317">
      <w:bodyDiv w:val="1"/>
      <w:marLeft w:val="0"/>
      <w:marRight w:val="0"/>
      <w:marTop w:val="0"/>
      <w:marBottom w:val="0"/>
      <w:divBdr>
        <w:top w:val="none" w:sz="0" w:space="0" w:color="auto"/>
        <w:left w:val="none" w:sz="0" w:space="0" w:color="auto"/>
        <w:bottom w:val="none" w:sz="0" w:space="0" w:color="auto"/>
        <w:right w:val="none" w:sz="0" w:space="0" w:color="auto"/>
      </w:divBdr>
    </w:div>
    <w:div w:id="1748569761">
      <w:bodyDiv w:val="1"/>
      <w:marLeft w:val="0"/>
      <w:marRight w:val="0"/>
      <w:marTop w:val="0"/>
      <w:marBottom w:val="0"/>
      <w:divBdr>
        <w:top w:val="none" w:sz="0" w:space="0" w:color="auto"/>
        <w:left w:val="none" w:sz="0" w:space="0" w:color="auto"/>
        <w:bottom w:val="none" w:sz="0" w:space="0" w:color="auto"/>
        <w:right w:val="none" w:sz="0" w:space="0" w:color="auto"/>
      </w:divBdr>
    </w:div>
    <w:div w:id="196754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D7438-C506-474C-ACE2-1262AF7EF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11773</Words>
  <Characters>6712</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18449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Ященко Ольга Миколаївна</dc:creator>
  <cp:keywords/>
  <dc:description/>
  <cp:lastModifiedBy>Коломієць Інна Петрівна</cp:lastModifiedBy>
  <cp:revision>6</cp:revision>
  <dcterms:created xsi:type="dcterms:W3CDTF">2024-11-14T16:54:00Z</dcterms:created>
  <dcterms:modified xsi:type="dcterms:W3CDTF">2024-11-28T17:09:00Z</dcterms:modified>
</cp:coreProperties>
</file>