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984"/>
        <w:gridCol w:w="3826"/>
      </w:tblGrid>
      <w:tr w:rsidR="00B34FC1" w14:paraId="1366BF34" w14:textId="77777777" w:rsidTr="00B34FC1">
        <w:trPr>
          <w:trHeight w:val="851"/>
        </w:trPr>
        <w:tc>
          <w:tcPr>
            <w:tcW w:w="3828" w:type="dxa"/>
          </w:tcPr>
          <w:p w14:paraId="05A91437" w14:textId="77777777" w:rsidR="00B34FC1" w:rsidRDefault="00B34FC1" w:rsidP="00B34FC1"/>
        </w:tc>
        <w:tc>
          <w:tcPr>
            <w:tcW w:w="1984" w:type="dxa"/>
            <w:vMerge w:val="restart"/>
          </w:tcPr>
          <w:p w14:paraId="42792CEA" w14:textId="77777777" w:rsidR="00B34FC1" w:rsidRDefault="00B34FC1" w:rsidP="00B34FC1">
            <w:pPr>
              <w:jc w:val="center"/>
            </w:pPr>
            <w:r>
              <w:object w:dxaOrig="1595" w:dyaOrig="2201" w14:anchorId="6B0526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75pt;height:48pt" o:ole="">
                  <v:imagedata r:id="rId12" o:title=""/>
                </v:shape>
                <o:OLEObject Type="Embed" ProgID="CorelDraw.Graphic.16" ShapeID="_x0000_i1025" DrawAspect="Content" ObjectID="_1761055502" r:id="rId13"/>
              </w:object>
            </w:r>
          </w:p>
        </w:tc>
        <w:tc>
          <w:tcPr>
            <w:tcW w:w="3826" w:type="dxa"/>
          </w:tcPr>
          <w:p w14:paraId="3DBCE9EB" w14:textId="624E6CC0" w:rsidR="00B34FC1" w:rsidRPr="00B24D32" w:rsidRDefault="00B34FC1" w:rsidP="00E35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Офіційно опубліковано </w:t>
            </w:r>
            <w:r w:rsidR="00A970B1" w:rsidRPr="00B24D32">
              <w:rPr>
                <w:sz w:val="24"/>
                <w:szCs w:val="24"/>
              </w:rPr>
              <w:t>1</w:t>
            </w:r>
            <w:r w:rsidR="00E35263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B24D32">
              <w:rPr>
                <w:sz w:val="24"/>
                <w:szCs w:val="24"/>
              </w:rPr>
              <w:t>.</w:t>
            </w:r>
            <w:r w:rsidR="00A970B1" w:rsidRPr="00B24D32">
              <w:rPr>
                <w:sz w:val="24"/>
                <w:szCs w:val="24"/>
              </w:rPr>
              <w:t>11</w:t>
            </w:r>
            <w:r w:rsidRPr="00B24D32">
              <w:rPr>
                <w:sz w:val="24"/>
                <w:szCs w:val="24"/>
              </w:rPr>
              <w:t>.2023</w:t>
            </w:r>
          </w:p>
        </w:tc>
      </w:tr>
      <w:tr w:rsidR="00B34FC1" w14:paraId="57A3BF10" w14:textId="77777777" w:rsidTr="00B34FC1">
        <w:tc>
          <w:tcPr>
            <w:tcW w:w="3828" w:type="dxa"/>
          </w:tcPr>
          <w:p w14:paraId="67C1F7C5" w14:textId="77777777" w:rsidR="00B34FC1" w:rsidRDefault="00B34FC1" w:rsidP="00B34FC1"/>
        </w:tc>
        <w:tc>
          <w:tcPr>
            <w:tcW w:w="1984" w:type="dxa"/>
            <w:vMerge/>
          </w:tcPr>
          <w:p w14:paraId="174B1E28" w14:textId="77777777" w:rsidR="00B34FC1" w:rsidRDefault="00B34FC1" w:rsidP="00B34FC1"/>
        </w:tc>
        <w:tc>
          <w:tcPr>
            <w:tcW w:w="3826" w:type="dxa"/>
          </w:tcPr>
          <w:p w14:paraId="37D092FD" w14:textId="77777777" w:rsidR="00B34FC1" w:rsidRDefault="00B34FC1" w:rsidP="00B34FC1"/>
        </w:tc>
      </w:tr>
      <w:tr w:rsidR="00B34FC1" w14:paraId="13F0D89C" w14:textId="77777777" w:rsidTr="00B17FDD">
        <w:tc>
          <w:tcPr>
            <w:tcW w:w="9638" w:type="dxa"/>
            <w:gridSpan w:val="3"/>
          </w:tcPr>
          <w:p w14:paraId="3FE5A9C5" w14:textId="77777777" w:rsidR="00B34FC1" w:rsidRPr="00E10F0A" w:rsidRDefault="00B34FC1" w:rsidP="00B34FC1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68AEC60D" w14:textId="77777777" w:rsidR="00B34FC1" w:rsidRDefault="00B34FC1" w:rsidP="00B34FC1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19B2A421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2633"/>
        <w:gridCol w:w="1666"/>
        <w:gridCol w:w="1896"/>
      </w:tblGrid>
      <w:tr w:rsidR="00657593" w14:paraId="1C848802" w14:textId="77777777" w:rsidTr="00AB062E">
        <w:tc>
          <w:tcPr>
            <w:tcW w:w="3510" w:type="dxa"/>
            <w:vAlign w:val="bottom"/>
          </w:tcPr>
          <w:p w14:paraId="754F3617" w14:textId="31F9DBA7" w:rsidR="00657593" w:rsidRPr="00566BA2" w:rsidRDefault="00A970B1" w:rsidP="00F45C97">
            <w:r>
              <w:t>08 листопада 2023 року</w:t>
            </w:r>
          </w:p>
        </w:tc>
        <w:tc>
          <w:tcPr>
            <w:tcW w:w="2694" w:type="dxa"/>
          </w:tcPr>
          <w:p w14:paraId="7ADB01B8" w14:textId="78024F3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3EDDE94E" w14:textId="77777777" w:rsidR="00657593" w:rsidRDefault="00657593" w:rsidP="00E62607">
            <w:pPr>
              <w:jc w:val="right"/>
            </w:pPr>
          </w:p>
        </w:tc>
        <w:tc>
          <w:tcPr>
            <w:tcW w:w="1937" w:type="dxa"/>
            <w:vAlign w:val="bottom"/>
          </w:tcPr>
          <w:p w14:paraId="624C19BE" w14:textId="063435BC" w:rsidR="00657593" w:rsidRDefault="00A970B1" w:rsidP="00290169">
            <w:pPr>
              <w:jc w:val="left"/>
            </w:pPr>
            <w:r>
              <w:t>№ 143</w:t>
            </w:r>
          </w:p>
        </w:tc>
      </w:tr>
    </w:tbl>
    <w:p w14:paraId="2362837A" w14:textId="77777777" w:rsidR="00657593" w:rsidRPr="00B17FDD" w:rsidRDefault="00657593" w:rsidP="00B17FDD">
      <w:pPr>
        <w:jc w:val="center"/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2B3F71" w:rsidRPr="00CD0CD4" w14:paraId="6BDFEE6C" w14:textId="77777777" w:rsidTr="005212C5">
        <w:trPr>
          <w:jc w:val="center"/>
        </w:trPr>
        <w:tc>
          <w:tcPr>
            <w:tcW w:w="5000" w:type="pct"/>
          </w:tcPr>
          <w:p w14:paraId="53F151E7" w14:textId="08ABDB18" w:rsidR="002B3F71" w:rsidRPr="00D509C0" w:rsidRDefault="00F96DA1" w:rsidP="0003377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F96DA1">
              <w:rPr>
                <w:rFonts w:eastAsia="SimSun"/>
              </w:rPr>
              <w:t xml:space="preserve">Про затвердження Положення про встановлення </w:t>
            </w:r>
            <w:r w:rsidR="00566219" w:rsidRPr="00F96DA1">
              <w:rPr>
                <w:rFonts w:eastAsia="SimSun"/>
              </w:rPr>
              <w:t xml:space="preserve">критеріїв, за якими оцінюється ступінь ризику від здійснення діяльності учасниками ринку небанківських фінансових послуг, їх </w:t>
            </w:r>
            <w:r w:rsidR="00033779" w:rsidRPr="00F96DA1">
              <w:rPr>
                <w:rFonts w:eastAsia="SimSun"/>
              </w:rPr>
              <w:t>суспільн</w:t>
            </w:r>
            <w:r w:rsidR="00033779">
              <w:rPr>
                <w:rFonts w:eastAsia="SimSun"/>
              </w:rPr>
              <w:t>а</w:t>
            </w:r>
            <w:r w:rsidR="00033779" w:rsidRPr="00F96DA1">
              <w:rPr>
                <w:rFonts w:eastAsia="SimSun"/>
              </w:rPr>
              <w:t xml:space="preserve"> </w:t>
            </w:r>
            <w:r w:rsidR="00566219" w:rsidRPr="00F96DA1">
              <w:rPr>
                <w:rFonts w:eastAsia="SimSun"/>
              </w:rPr>
              <w:t>важлив</w:t>
            </w:r>
            <w:r w:rsidR="00033779">
              <w:rPr>
                <w:rFonts w:eastAsia="SimSun"/>
              </w:rPr>
              <w:t>ість</w:t>
            </w:r>
          </w:p>
        </w:tc>
      </w:tr>
    </w:tbl>
    <w:p w14:paraId="5CBBBF2A" w14:textId="55542C5F" w:rsidR="00E53CCD" w:rsidRDefault="00F96DA1" w:rsidP="003579C8">
      <w:pPr>
        <w:spacing w:before="240" w:after="240"/>
        <w:ind w:firstLine="567"/>
        <w:rPr>
          <w:b/>
        </w:rPr>
      </w:pPr>
      <w:r w:rsidRPr="00D83ABD">
        <w:rPr>
          <w:rFonts w:eastAsia="SimSun"/>
        </w:rPr>
        <w:t>Відповідно до статей 7, 15, 55</w:t>
      </w:r>
      <w:r w:rsidRPr="00D83ABD">
        <w:rPr>
          <w:rFonts w:eastAsia="SimSun"/>
          <w:vertAlign w:val="superscript"/>
        </w:rPr>
        <w:t>1</w:t>
      </w:r>
      <w:r w:rsidRPr="00D83ABD">
        <w:rPr>
          <w:rFonts w:eastAsia="SimSun"/>
        </w:rPr>
        <w:t>, 56 Закону України “Про Національний банк України”,</w:t>
      </w:r>
      <w:r w:rsidR="00325E0C">
        <w:rPr>
          <w:rFonts w:eastAsia="SimSun"/>
        </w:rPr>
        <w:t xml:space="preserve"> </w:t>
      </w:r>
      <w:r w:rsidRPr="00D83ABD">
        <w:rPr>
          <w:rFonts w:eastAsia="SimSun"/>
        </w:rPr>
        <w:t>статей 21, 28</w:t>
      </w:r>
      <w:r>
        <w:rPr>
          <w:rFonts w:eastAsia="SimSun"/>
        </w:rPr>
        <w:t>−</w:t>
      </w:r>
      <w:r w:rsidRPr="00D83ABD">
        <w:rPr>
          <w:rFonts w:eastAsia="SimSun"/>
        </w:rPr>
        <w:t xml:space="preserve">30 Закону України “Про фінансові послуги та державне регулювання ринків фінансових послуг”, з метою встановлення критеріїв, за якими </w:t>
      </w:r>
      <w:r w:rsidRPr="00AE4928">
        <w:rPr>
          <w:rFonts w:eastAsia="SimSun"/>
        </w:rPr>
        <w:t xml:space="preserve">оцінюється </w:t>
      </w:r>
      <w:r w:rsidRPr="00D83ABD">
        <w:rPr>
          <w:rFonts w:eastAsia="SimSun"/>
        </w:rPr>
        <w:t xml:space="preserve">ступінь ризику від здійснення діяльності учасниками ринку небанківських фінансових послуг, їх </w:t>
      </w:r>
      <w:r w:rsidR="006939CB" w:rsidRPr="00AE4928">
        <w:rPr>
          <w:rFonts w:eastAsia="SimSun"/>
        </w:rPr>
        <w:t>суспільн</w:t>
      </w:r>
      <w:r w:rsidR="006939CB">
        <w:rPr>
          <w:rFonts w:eastAsia="SimSun"/>
        </w:rPr>
        <w:t>а</w:t>
      </w:r>
      <w:r w:rsidR="006939CB" w:rsidRPr="00AE4928">
        <w:rPr>
          <w:rFonts w:eastAsia="SimSun"/>
        </w:rPr>
        <w:t xml:space="preserve"> </w:t>
      </w:r>
      <w:r w:rsidRPr="00D83ABD">
        <w:rPr>
          <w:rFonts w:eastAsia="SimSun"/>
        </w:rPr>
        <w:t>важлив</w:t>
      </w:r>
      <w:r w:rsidR="006939CB">
        <w:rPr>
          <w:rFonts w:eastAsia="SimSun"/>
        </w:rPr>
        <w:t>ість</w:t>
      </w:r>
      <w:r w:rsidRPr="00D83ABD">
        <w:rPr>
          <w:rFonts w:eastAsia="SimSun"/>
        </w:rPr>
        <w:t xml:space="preserve">, на підставі яких </w:t>
      </w:r>
      <w:r w:rsidR="006939CB">
        <w:rPr>
          <w:rFonts w:eastAsia="SimSun"/>
        </w:rPr>
        <w:t xml:space="preserve">визначається інтенсивність наглядових </w:t>
      </w:r>
      <w:r w:rsidR="000B25BA">
        <w:rPr>
          <w:rFonts w:eastAsia="SimSun"/>
        </w:rPr>
        <w:t>ді</w:t>
      </w:r>
      <w:r w:rsidR="006939CB">
        <w:rPr>
          <w:rFonts w:eastAsia="SimSun"/>
        </w:rPr>
        <w:t>й</w:t>
      </w:r>
      <w:r w:rsidR="001C0887">
        <w:rPr>
          <w:rFonts w:eastAsia="SimSun"/>
        </w:rPr>
        <w:t>,</w:t>
      </w:r>
      <w:r w:rsidR="000B25BA">
        <w:rPr>
          <w:rFonts w:eastAsia="SimSun"/>
        </w:rPr>
        <w:t xml:space="preserve"> </w:t>
      </w:r>
      <w:r w:rsidR="00115ECF" w:rsidRPr="00CD0CD4">
        <w:t xml:space="preserve">Правління Національного банку </w:t>
      </w:r>
      <w:r w:rsidR="00562C46" w:rsidRPr="00CD0CD4">
        <w:t>України</w:t>
      </w:r>
      <w:r w:rsidR="00562C46" w:rsidRPr="00CD0CD4">
        <w:rPr>
          <w:b/>
        </w:rPr>
        <w:t xml:space="preserve"> </w:t>
      </w:r>
      <w:r w:rsidR="00FA508E" w:rsidRPr="00CD0CD4">
        <w:rPr>
          <w:b/>
        </w:rPr>
        <w:t>постановляє:</w:t>
      </w:r>
    </w:p>
    <w:p w14:paraId="74C20AE0" w14:textId="77777777" w:rsidR="00985A4E" w:rsidRDefault="00AD7DF9" w:rsidP="00985A4E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F96DA1">
        <w:t>1</w:t>
      </w:r>
      <w:r w:rsidR="00960594">
        <w:t>.</w:t>
      </w:r>
      <w:r w:rsidR="00F96DA1" w:rsidRPr="00F96DA1">
        <w:rPr>
          <w:noProof/>
          <w:color w:val="000000"/>
        </w:rPr>
        <w:t xml:space="preserve"> </w:t>
      </w:r>
      <w:r w:rsidR="00566219" w:rsidRPr="00D83ABD">
        <w:rPr>
          <w:noProof/>
          <w:color w:val="000000"/>
        </w:rPr>
        <w:t>Затвердити</w:t>
      </w:r>
      <w:r w:rsidR="00F96DA1" w:rsidRPr="00D83ABD">
        <w:rPr>
          <w:noProof/>
          <w:color w:val="000000"/>
        </w:rPr>
        <w:t xml:space="preserve"> </w:t>
      </w:r>
      <w:r w:rsidR="00F96DA1" w:rsidRPr="00AE4928">
        <w:rPr>
          <w:noProof/>
        </w:rPr>
        <w:t>Положення про встановлення к</w:t>
      </w:r>
      <w:r w:rsidR="00F96DA1" w:rsidRPr="00AE4928">
        <w:rPr>
          <w:rFonts w:eastAsia="SimSun"/>
        </w:rPr>
        <w:t xml:space="preserve">ритеріїв, за якими оцінюється ступінь ризику від здійснення діяльності учасниками ринку небанківських фінансових послуг, їх </w:t>
      </w:r>
      <w:r w:rsidR="006939CB" w:rsidRPr="00AE4928">
        <w:rPr>
          <w:rFonts w:eastAsia="SimSun"/>
        </w:rPr>
        <w:t>суспільн</w:t>
      </w:r>
      <w:r w:rsidR="006939CB">
        <w:rPr>
          <w:rFonts w:eastAsia="SimSun"/>
        </w:rPr>
        <w:t>а</w:t>
      </w:r>
      <w:r w:rsidR="006939CB" w:rsidRPr="00D83ABD">
        <w:rPr>
          <w:rFonts w:eastAsia="SimSun"/>
        </w:rPr>
        <w:t xml:space="preserve"> важлив</w:t>
      </w:r>
      <w:r w:rsidR="006939CB">
        <w:rPr>
          <w:rFonts w:eastAsia="SimSun"/>
        </w:rPr>
        <w:t>ість</w:t>
      </w:r>
      <w:r w:rsidR="00F96DA1" w:rsidRPr="00D83ABD">
        <w:rPr>
          <w:rFonts w:eastAsia="SimSun"/>
        </w:rPr>
        <w:t xml:space="preserve">, </w:t>
      </w:r>
      <w:r w:rsidR="00F96DA1" w:rsidRPr="00D83ABD">
        <w:rPr>
          <w:noProof/>
          <w:color w:val="000000"/>
        </w:rPr>
        <w:t>що дода</w:t>
      </w:r>
      <w:r w:rsidR="00F96DA1">
        <w:rPr>
          <w:noProof/>
          <w:color w:val="000000"/>
        </w:rPr>
        <w:t>є</w:t>
      </w:r>
      <w:r w:rsidR="00F96DA1" w:rsidRPr="00D83ABD">
        <w:rPr>
          <w:noProof/>
          <w:color w:val="000000"/>
        </w:rPr>
        <w:t>ться</w:t>
      </w:r>
      <w:r w:rsidR="005212A1" w:rsidRPr="00F96DA1">
        <w:rPr>
          <w:rFonts w:eastAsiaTheme="minorEastAsia"/>
          <w:noProof/>
          <w:color w:val="000000" w:themeColor="text1"/>
          <w:lang w:eastAsia="en-US"/>
        </w:rPr>
        <w:t>.</w:t>
      </w:r>
    </w:p>
    <w:p w14:paraId="2DD8C9FE" w14:textId="67806EEA" w:rsidR="00985A4E" w:rsidRDefault="00AD7DF9" w:rsidP="00985A4E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985A4E">
        <w:rPr>
          <w:rFonts w:eastAsiaTheme="minorEastAsia"/>
          <w:noProof/>
          <w:color w:val="000000" w:themeColor="text1"/>
          <w:lang w:eastAsia="en-US"/>
        </w:rPr>
        <w:t>2. </w:t>
      </w:r>
      <w:r w:rsidR="00985A4E" w:rsidRPr="00985A4E">
        <w:rPr>
          <w:rFonts w:eastAsia="SimSun"/>
        </w:rPr>
        <w:t xml:space="preserve">Департаменту методології регулювання діяльності небанківських фінансових установ (Сергій Савчук) після офіційного опублікування довести до відома </w:t>
      </w:r>
      <w:r w:rsidR="00985A4E" w:rsidRPr="00985A4E">
        <w:rPr>
          <w:bCs/>
          <w:color w:val="000000"/>
        </w:rPr>
        <w:t xml:space="preserve">учасників ринку небанківських фінансових послуг </w:t>
      </w:r>
      <w:r w:rsidR="00985A4E" w:rsidRPr="00985A4E">
        <w:rPr>
          <w:rFonts w:eastAsia="SimSun"/>
        </w:rPr>
        <w:t>інформацію про прийняття  цієї постанови.</w:t>
      </w:r>
    </w:p>
    <w:p w14:paraId="35BB0F93" w14:textId="792FE31E" w:rsidR="00AD7DF9" w:rsidRDefault="00985A4E" w:rsidP="003579C8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>
        <w:rPr>
          <w:rFonts w:eastAsiaTheme="minorEastAsia"/>
          <w:noProof/>
          <w:color w:val="000000" w:themeColor="text1"/>
          <w:lang w:eastAsia="en-US"/>
        </w:rPr>
        <w:t xml:space="preserve">3. </w:t>
      </w:r>
      <w:r w:rsidR="00F96DA1" w:rsidRPr="00D83ABD">
        <w:t>Постанова набирає чинності з дня, наступного за днем її офіційного опублікування</w:t>
      </w:r>
      <w:r w:rsidR="005212A1" w:rsidRPr="005212A1">
        <w:rPr>
          <w:rFonts w:eastAsiaTheme="minorEastAsia"/>
          <w:noProof/>
          <w:color w:val="000000" w:themeColor="text1"/>
          <w:lang w:val="ru-RU" w:eastAsia="en-US"/>
        </w:rPr>
        <w:t>.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DD60CC" w:rsidRPr="00CD0CD4" w14:paraId="7633DE81" w14:textId="77777777" w:rsidTr="00E15662">
        <w:tc>
          <w:tcPr>
            <w:tcW w:w="5495" w:type="dxa"/>
            <w:vAlign w:val="bottom"/>
          </w:tcPr>
          <w:p w14:paraId="112BBC5E" w14:textId="77777777" w:rsidR="002D0CA3" w:rsidRDefault="002D0CA3" w:rsidP="009C4F46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  <w:rPr>
                <w:rFonts w:eastAsia="SimSun"/>
              </w:rPr>
            </w:pPr>
          </w:p>
          <w:p w14:paraId="1B6DAA7D" w14:textId="4A008644" w:rsidR="00DD60CC" w:rsidRPr="00CD0CD4" w:rsidRDefault="00F96DA1" w:rsidP="009C4F46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 w:rsidRPr="00D83ABD">
              <w:rPr>
                <w:rFonts w:eastAsia="SimSun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5932354E" w14:textId="267BDA17" w:rsidR="00DD60CC" w:rsidRPr="00BA63B1" w:rsidRDefault="00BA63B1" w:rsidP="00AC2472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>
              <w:rPr>
                <w:rFonts w:eastAsia="SimSun"/>
              </w:rPr>
              <w:t>Андрій ПИШНИЙ</w:t>
            </w:r>
          </w:p>
        </w:tc>
      </w:tr>
    </w:tbl>
    <w:p w14:paraId="33304F4A" w14:textId="77777777" w:rsidR="002D0CA3" w:rsidRDefault="002D0CA3" w:rsidP="00ED4DB2">
      <w:pPr>
        <w:jc w:val="left"/>
      </w:pPr>
    </w:p>
    <w:p w14:paraId="7C0903FE" w14:textId="03B3D45B" w:rsidR="00ED4DB2" w:rsidRDefault="008C0811" w:rsidP="00ED4DB2">
      <w:pPr>
        <w:jc w:val="left"/>
        <w:rPr>
          <w:caps/>
        </w:rPr>
      </w:pPr>
      <w:r>
        <w:t>І</w:t>
      </w:r>
      <w:r w:rsidR="00FA508E" w:rsidRPr="00CD0CD4">
        <w:t>нд.</w:t>
      </w:r>
      <w:r w:rsidR="00FA508E" w:rsidRPr="00CD0CD4">
        <w:rPr>
          <w:sz w:val="22"/>
          <w:szCs w:val="22"/>
        </w:rPr>
        <w:t xml:space="preserve"> </w:t>
      </w:r>
      <w:r w:rsidR="00F96DA1" w:rsidRPr="008C0811">
        <w:rPr>
          <w:lang w:val="ru-RU"/>
        </w:rPr>
        <w:t>33</w:t>
      </w:r>
    </w:p>
    <w:p w14:paraId="7A1DB5A6" w14:textId="77777777" w:rsidR="00E97498" w:rsidRDefault="00E97498" w:rsidP="008B5CA9">
      <w:pPr>
        <w:ind w:left="5954"/>
        <w:jc w:val="left"/>
        <w:rPr>
          <w:caps/>
        </w:rPr>
        <w:sectPr w:rsidR="00E97498" w:rsidSect="00734469">
          <w:headerReference w:type="default" r:id="rId14"/>
          <w:pgSz w:w="11906" w:h="16838" w:code="9"/>
          <w:pgMar w:top="567" w:right="567" w:bottom="1701" w:left="1701" w:header="709" w:footer="709" w:gutter="0"/>
          <w:cols w:space="708"/>
          <w:titlePg/>
          <w:docGrid w:linePitch="381"/>
        </w:sectPr>
      </w:pPr>
    </w:p>
    <w:p w14:paraId="7C166CC9" w14:textId="77777777" w:rsidR="00E97498" w:rsidRDefault="00E97498" w:rsidP="008B5CA9">
      <w:pPr>
        <w:ind w:left="5954"/>
        <w:jc w:val="left"/>
        <w:rPr>
          <w:caps/>
        </w:rPr>
        <w:sectPr w:rsidR="00E97498" w:rsidSect="00E97498">
          <w:type w:val="continuous"/>
          <w:pgSz w:w="11906" w:h="16838" w:code="9"/>
          <w:pgMar w:top="426" w:right="567" w:bottom="1701" w:left="1701" w:header="709" w:footer="709" w:gutter="0"/>
          <w:cols w:space="708"/>
          <w:titlePg/>
          <w:docGrid w:linePitch="381"/>
        </w:sectPr>
      </w:pPr>
    </w:p>
    <w:p w14:paraId="68AB31DF" w14:textId="77777777" w:rsidR="00734469" w:rsidRPr="00A74A9F" w:rsidRDefault="00734469" w:rsidP="008B5CA9">
      <w:pPr>
        <w:ind w:left="5954"/>
        <w:jc w:val="left"/>
        <w:rPr>
          <w:caps/>
        </w:rPr>
      </w:pPr>
    </w:p>
    <w:p w14:paraId="599556C9" w14:textId="320443D6" w:rsidR="00F96DA1" w:rsidRPr="00A74A9F" w:rsidRDefault="00F96DA1" w:rsidP="008B5CA9">
      <w:pPr>
        <w:ind w:left="5954"/>
        <w:jc w:val="left"/>
        <w:rPr>
          <w:caps/>
        </w:rPr>
      </w:pPr>
      <w:r w:rsidRPr="00A74A9F">
        <w:rPr>
          <w:caps/>
        </w:rPr>
        <w:t>затверджено</w:t>
      </w:r>
    </w:p>
    <w:p w14:paraId="512F4745" w14:textId="1A7AF883" w:rsidR="00F96DA1" w:rsidRPr="00B24D32" w:rsidRDefault="00F96DA1" w:rsidP="008B5CA9">
      <w:pPr>
        <w:ind w:left="5954"/>
        <w:jc w:val="left"/>
        <w:rPr>
          <w:bCs/>
          <w:lang w:val="ru-RU"/>
        </w:rPr>
      </w:pPr>
      <w:r w:rsidRPr="00A74A9F">
        <w:t xml:space="preserve">Постанова Правління </w:t>
      </w:r>
      <w:r w:rsidRPr="00A74A9F">
        <w:br/>
        <w:t>Національного банку України</w:t>
      </w:r>
      <w:r w:rsidRPr="00A74A9F">
        <w:br/>
      </w:r>
      <w:r w:rsidR="00717770">
        <w:rPr>
          <w:bCs/>
        </w:rPr>
        <w:t>08 листопада 2023 року</w:t>
      </w:r>
      <w:r w:rsidR="00842C5E">
        <w:rPr>
          <w:bCs/>
        </w:rPr>
        <w:t xml:space="preserve"> № 143</w:t>
      </w:r>
    </w:p>
    <w:p w14:paraId="1DCDF6BD" w14:textId="6B55DFD4" w:rsidR="006F0760" w:rsidRPr="00A74A9F" w:rsidRDefault="006F0760" w:rsidP="008B5CA9">
      <w:pPr>
        <w:ind w:left="5954"/>
        <w:jc w:val="left"/>
        <w:rPr>
          <w:bCs/>
          <w:lang w:val="ru-RU"/>
        </w:rPr>
      </w:pPr>
    </w:p>
    <w:p w14:paraId="5878C0A6" w14:textId="77777777" w:rsidR="00734469" w:rsidRPr="00A74A9F" w:rsidRDefault="00734469" w:rsidP="008B5CA9">
      <w:pPr>
        <w:ind w:left="5954"/>
        <w:jc w:val="left"/>
        <w:rPr>
          <w:bCs/>
          <w:lang w:val="ru-RU"/>
        </w:rPr>
      </w:pPr>
    </w:p>
    <w:p w14:paraId="017F6DE1" w14:textId="77777777" w:rsidR="00F96DA1" w:rsidRPr="00A74A9F" w:rsidRDefault="00F96DA1" w:rsidP="00F96DA1">
      <w:pPr>
        <w:keepNext/>
        <w:jc w:val="center"/>
        <w:outlineLvl w:val="2"/>
        <w:rPr>
          <w:bCs/>
        </w:rPr>
      </w:pPr>
      <w:r w:rsidRPr="00A74A9F">
        <w:rPr>
          <w:bCs/>
        </w:rPr>
        <w:t>Положення про встановлення критеріїв,</w:t>
      </w:r>
    </w:p>
    <w:p w14:paraId="10A71394" w14:textId="74B10680" w:rsidR="00F96DA1" w:rsidRPr="00A74A9F" w:rsidRDefault="00F96DA1" w:rsidP="00F96DA1">
      <w:pPr>
        <w:keepNext/>
        <w:jc w:val="center"/>
        <w:outlineLvl w:val="2"/>
        <w:rPr>
          <w:bCs/>
        </w:rPr>
      </w:pPr>
      <w:r w:rsidRPr="00A74A9F">
        <w:rPr>
          <w:bCs/>
        </w:rPr>
        <w:t xml:space="preserve">за якими оцінюється ступінь ризику від здійснення діяльності учасниками ринку небанківських фінансових послуг, їх </w:t>
      </w:r>
      <w:r w:rsidR="006939CB" w:rsidRPr="00A74A9F">
        <w:rPr>
          <w:bCs/>
        </w:rPr>
        <w:t>суспільна важливість</w:t>
      </w:r>
    </w:p>
    <w:p w14:paraId="74A6C924" w14:textId="77777777" w:rsidR="00F96DA1" w:rsidRPr="00A74A9F" w:rsidRDefault="00F96DA1" w:rsidP="00734469">
      <w:pPr>
        <w:outlineLvl w:val="2"/>
        <w:rPr>
          <w:bCs/>
        </w:rPr>
      </w:pPr>
    </w:p>
    <w:p w14:paraId="3D7F4E25" w14:textId="77777777" w:rsidR="00F96DA1" w:rsidRPr="00A74A9F" w:rsidRDefault="00F96DA1" w:rsidP="00F96DA1">
      <w:pPr>
        <w:shd w:val="clear" w:color="auto" w:fill="FFFFFF"/>
        <w:jc w:val="center"/>
        <w:rPr>
          <w:bCs/>
        </w:rPr>
      </w:pPr>
      <w:r w:rsidRPr="00A74A9F">
        <w:rPr>
          <w:bCs/>
        </w:rPr>
        <w:t>І. Загальні положення</w:t>
      </w:r>
    </w:p>
    <w:p w14:paraId="57E5BE6D" w14:textId="77777777" w:rsidR="00F96DA1" w:rsidRPr="00A74A9F" w:rsidRDefault="00F96DA1" w:rsidP="00734469">
      <w:pPr>
        <w:shd w:val="clear" w:color="auto" w:fill="FFFFFF"/>
        <w:ind w:firstLine="567"/>
        <w:jc w:val="center"/>
        <w:rPr>
          <w:bCs/>
        </w:rPr>
      </w:pPr>
    </w:p>
    <w:p w14:paraId="23C74566" w14:textId="6F9494B2" w:rsidR="00F96DA1" w:rsidRPr="00A74A9F" w:rsidRDefault="00F96DA1" w:rsidP="00734469">
      <w:pPr>
        <w:ind w:firstLine="567"/>
        <w:outlineLvl w:val="2"/>
        <w:rPr>
          <w:bCs/>
        </w:rPr>
      </w:pPr>
      <w:r w:rsidRPr="00A74A9F">
        <w:rPr>
          <w:bCs/>
        </w:rPr>
        <w:t>1. Це Положення розроблено відповідно до Законів України “Про Національний банк України”, “Про фінансові послуги та державне регулювання ринків фінансових послуг” (далі ‒ Закон про фінансові послуги).</w:t>
      </w:r>
    </w:p>
    <w:p w14:paraId="6A5A5FB4" w14:textId="162E166F" w:rsidR="00457152" w:rsidRPr="00A74A9F" w:rsidRDefault="00457152" w:rsidP="00734469">
      <w:pPr>
        <w:ind w:firstLine="567"/>
        <w:outlineLvl w:val="2"/>
        <w:rPr>
          <w:bCs/>
        </w:rPr>
      </w:pPr>
    </w:p>
    <w:p w14:paraId="011F5C3C" w14:textId="3F967FF9" w:rsidR="00457152" w:rsidRPr="00A74A9F" w:rsidRDefault="00457152" w:rsidP="00734469">
      <w:pPr>
        <w:ind w:firstLine="567"/>
        <w:outlineLvl w:val="2"/>
        <w:rPr>
          <w:bCs/>
        </w:rPr>
      </w:pPr>
      <w:r w:rsidRPr="00A74A9F">
        <w:rPr>
          <w:bCs/>
        </w:rPr>
        <w:t xml:space="preserve">2. Терміни, </w:t>
      </w:r>
      <w:r w:rsidR="0010613A">
        <w:rPr>
          <w:bCs/>
        </w:rPr>
        <w:t>що</w:t>
      </w:r>
      <w:r w:rsidRPr="00A74A9F">
        <w:rPr>
          <w:bCs/>
        </w:rPr>
        <w:t xml:space="preserve"> використовуються в цьому Положенні, уживаються в значеннях, визначених у</w:t>
      </w:r>
      <w:r w:rsidR="005804B6" w:rsidRPr="00A74A9F">
        <w:rPr>
          <w:bCs/>
        </w:rPr>
        <w:t xml:space="preserve"> </w:t>
      </w:r>
      <w:r w:rsidRPr="00A74A9F">
        <w:rPr>
          <w:bCs/>
        </w:rPr>
        <w:t>Законі України “Про Національний банк України”, Законі про фінансові послуги і нормативно-правових актах з питань</w:t>
      </w:r>
      <w:r w:rsidR="00033779" w:rsidRPr="00A74A9F">
        <w:rPr>
          <w:bCs/>
        </w:rPr>
        <w:t xml:space="preserve"> державного</w:t>
      </w:r>
      <w:r w:rsidRPr="00A74A9F">
        <w:rPr>
          <w:bCs/>
        </w:rPr>
        <w:t xml:space="preserve"> регулювання </w:t>
      </w:r>
      <w:r w:rsidR="00033779" w:rsidRPr="00A74A9F">
        <w:rPr>
          <w:bCs/>
        </w:rPr>
        <w:t xml:space="preserve">на ринках </w:t>
      </w:r>
      <w:r w:rsidRPr="00A74A9F">
        <w:rPr>
          <w:bCs/>
        </w:rPr>
        <w:t>небанківських фінансових послуг</w:t>
      </w:r>
      <w:r w:rsidR="00F4107F" w:rsidRPr="00A74A9F">
        <w:rPr>
          <w:bCs/>
        </w:rPr>
        <w:t>.</w:t>
      </w:r>
    </w:p>
    <w:p w14:paraId="2EBE1FD0" w14:textId="77777777" w:rsidR="00F96DA1" w:rsidRPr="00A74A9F" w:rsidRDefault="00F96DA1" w:rsidP="00734469">
      <w:pPr>
        <w:shd w:val="clear" w:color="auto" w:fill="FFFFFF"/>
        <w:ind w:firstLine="567"/>
        <w:rPr>
          <w:bCs/>
        </w:rPr>
      </w:pPr>
    </w:p>
    <w:p w14:paraId="33406604" w14:textId="2A782497" w:rsidR="00457152" w:rsidRPr="00A74A9F" w:rsidRDefault="00457152" w:rsidP="00734469">
      <w:pPr>
        <w:shd w:val="clear" w:color="auto" w:fill="FFFFFF"/>
        <w:ind w:firstLine="567"/>
      </w:pPr>
      <w:r w:rsidRPr="00A74A9F">
        <w:rPr>
          <w:bCs/>
        </w:rPr>
        <w:t>3</w:t>
      </w:r>
      <w:r w:rsidR="00F96DA1" w:rsidRPr="00A74A9F">
        <w:rPr>
          <w:bCs/>
        </w:rPr>
        <w:t>. Це Положення визначає</w:t>
      </w:r>
      <w:r w:rsidR="00813254" w:rsidRPr="00A74A9F">
        <w:rPr>
          <w:bCs/>
        </w:rPr>
        <w:t xml:space="preserve"> </w:t>
      </w:r>
      <w:r w:rsidR="00F96DA1" w:rsidRPr="00A74A9F">
        <w:rPr>
          <w:bCs/>
        </w:rPr>
        <w:t xml:space="preserve">критерії, за якими </w:t>
      </w:r>
      <w:r w:rsidR="00F96DA1" w:rsidRPr="00A74A9F">
        <w:t xml:space="preserve">Національним банком України (далі ‒ Національний банк) </w:t>
      </w:r>
      <w:r w:rsidR="00566219" w:rsidRPr="00A74A9F">
        <w:rPr>
          <w:bCs/>
        </w:rPr>
        <w:t xml:space="preserve">оцінюється ступінь ризику від здійснення діяльності учасниками ринку небанківських фінансових послуг </w:t>
      </w:r>
      <w:r w:rsidR="00566219" w:rsidRPr="00A74A9F">
        <w:t xml:space="preserve">(далі ‒ оцінювання ступеня ризику), їх </w:t>
      </w:r>
      <w:r w:rsidR="00033779" w:rsidRPr="00A74A9F">
        <w:rPr>
          <w:bCs/>
        </w:rPr>
        <w:t xml:space="preserve">суспільна важливість </w:t>
      </w:r>
      <w:r w:rsidR="00566219" w:rsidRPr="00A74A9F">
        <w:t>(далі ‒ оцінювання суспільної важливості учасників ринку небанківських фінансових послуг)</w:t>
      </w:r>
      <w:r w:rsidR="00566219" w:rsidRPr="00A74A9F">
        <w:rPr>
          <w:bCs/>
        </w:rPr>
        <w:t xml:space="preserve"> з метою визначення інтенсивності наглядових дій (періодичності проведення планових інспекційних перевірок</w:t>
      </w:r>
      <w:r w:rsidR="006E03D1" w:rsidRPr="00A74A9F">
        <w:t>;</w:t>
      </w:r>
      <w:r w:rsidR="00DC4067" w:rsidRPr="00A74A9F">
        <w:t xml:space="preserve"> </w:t>
      </w:r>
      <w:r w:rsidR="00566219" w:rsidRPr="00A74A9F">
        <w:t xml:space="preserve">під час здійснення безвиїзного нагляду) щодо учасників ринків небанківських фінансових послуг, </w:t>
      </w:r>
      <w:r w:rsidR="007C79D9" w:rsidRPr="00A74A9F">
        <w:t xml:space="preserve">державне </w:t>
      </w:r>
      <w:r w:rsidR="00566219" w:rsidRPr="00A74A9F">
        <w:t xml:space="preserve">регулювання і нагляд за </w:t>
      </w:r>
      <w:r w:rsidR="007C79D9" w:rsidRPr="00A74A9F">
        <w:t xml:space="preserve">діяльністю </w:t>
      </w:r>
      <w:r w:rsidR="00566219" w:rsidRPr="00A74A9F">
        <w:t>яки</w:t>
      </w:r>
      <w:r w:rsidR="007C79D9" w:rsidRPr="00A74A9F">
        <w:t>х</w:t>
      </w:r>
      <w:r w:rsidR="00566219" w:rsidRPr="00A74A9F">
        <w:t xml:space="preserve"> здійснює Національний банк, та порядок їх застосування.</w:t>
      </w:r>
    </w:p>
    <w:p w14:paraId="3DACDA7C" w14:textId="271118DD" w:rsidR="00F56A91" w:rsidRPr="00A74A9F" w:rsidRDefault="00F56A91" w:rsidP="00734469">
      <w:pPr>
        <w:shd w:val="clear" w:color="auto" w:fill="FFFFFF"/>
        <w:ind w:firstLine="567"/>
        <w:rPr>
          <w:bCs/>
        </w:rPr>
      </w:pPr>
    </w:p>
    <w:p w14:paraId="71D416B7" w14:textId="518E929F" w:rsidR="00451C9F" w:rsidRPr="00A74A9F" w:rsidRDefault="00457152" w:rsidP="00734469">
      <w:pPr>
        <w:shd w:val="clear" w:color="auto" w:fill="FFFFFF"/>
        <w:ind w:firstLine="567"/>
      </w:pPr>
      <w:r w:rsidRPr="00A74A9F">
        <w:t>4</w:t>
      </w:r>
      <w:r w:rsidR="00802D26" w:rsidRPr="00A74A9F">
        <w:t>.</w:t>
      </w:r>
      <w:r w:rsidRPr="00A74A9F">
        <w:t xml:space="preserve"> </w:t>
      </w:r>
      <w:r w:rsidR="005E5F0B">
        <w:t>Вимоги</w:t>
      </w:r>
      <w:r w:rsidR="005E5F0B" w:rsidRPr="00A74A9F">
        <w:t xml:space="preserve"> </w:t>
      </w:r>
      <w:r w:rsidR="00451C9F" w:rsidRPr="00A74A9F">
        <w:t xml:space="preserve">цього Положення для цілей визначення </w:t>
      </w:r>
      <w:r w:rsidR="00E875B3" w:rsidRPr="00A74A9F">
        <w:t>інтенсивності наглядових дій</w:t>
      </w:r>
      <w:r w:rsidR="00F41267" w:rsidRPr="00A74A9F">
        <w:t xml:space="preserve"> </w:t>
      </w:r>
      <w:r w:rsidR="00451C9F" w:rsidRPr="00A74A9F">
        <w:t>поширю</w:t>
      </w:r>
      <w:r w:rsidR="009F7023">
        <w:t>ю</w:t>
      </w:r>
      <w:r w:rsidR="00451C9F" w:rsidRPr="00A74A9F">
        <w:t xml:space="preserve">ться </w:t>
      </w:r>
      <w:r w:rsidR="009D3E26" w:rsidRPr="00A74A9F">
        <w:t>на:</w:t>
      </w:r>
    </w:p>
    <w:p w14:paraId="431FF422" w14:textId="77777777" w:rsidR="00734469" w:rsidRPr="00A74A9F" w:rsidRDefault="00734469" w:rsidP="00734469">
      <w:pPr>
        <w:shd w:val="clear" w:color="auto" w:fill="FFFFFF"/>
        <w:ind w:firstLine="567"/>
      </w:pPr>
    </w:p>
    <w:p w14:paraId="54BFD022" w14:textId="2C50B971" w:rsidR="0003161A" w:rsidRPr="00A74A9F" w:rsidRDefault="009D3E26" w:rsidP="00734469">
      <w:pPr>
        <w:pStyle w:val="af3"/>
        <w:numPr>
          <w:ilvl w:val="0"/>
          <w:numId w:val="30"/>
        </w:numPr>
        <w:shd w:val="clear" w:color="auto" w:fill="FFFFFF"/>
        <w:ind w:left="0" w:firstLine="567"/>
        <w:contextualSpacing w:val="0"/>
        <w:rPr>
          <w:bCs/>
        </w:rPr>
      </w:pPr>
      <w:r w:rsidRPr="00A74A9F">
        <w:rPr>
          <w:bCs/>
        </w:rPr>
        <w:t>страховиків</w:t>
      </w:r>
      <w:r w:rsidRPr="00A74A9F">
        <w:rPr>
          <w:bCs/>
          <w:lang w:val="en-US"/>
        </w:rPr>
        <w:t>;</w:t>
      </w:r>
    </w:p>
    <w:p w14:paraId="2FE6EB3C" w14:textId="77777777" w:rsidR="00734469" w:rsidRPr="00A74A9F" w:rsidRDefault="00734469" w:rsidP="00734469">
      <w:pPr>
        <w:pStyle w:val="af3"/>
        <w:shd w:val="clear" w:color="auto" w:fill="FFFFFF"/>
        <w:ind w:left="567"/>
        <w:contextualSpacing w:val="0"/>
        <w:rPr>
          <w:bCs/>
        </w:rPr>
      </w:pPr>
    </w:p>
    <w:p w14:paraId="463A51A2" w14:textId="5909D7C7" w:rsidR="009D3E26" w:rsidRPr="00A74A9F" w:rsidRDefault="009D3E26" w:rsidP="00734469">
      <w:pPr>
        <w:pStyle w:val="af3"/>
        <w:numPr>
          <w:ilvl w:val="0"/>
          <w:numId w:val="30"/>
        </w:numPr>
        <w:shd w:val="clear" w:color="auto" w:fill="FFFFFF"/>
        <w:ind w:left="0" w:firstLine="567"/>
        <w:contextualSpacing w:val="0"/>
        <w:rPr>
          <w:bCs/>
        </w:rPr>
      </w:pPr>
      <w:r w:rsidRPr="00A74A9F">
        <w:rPr>
          <w:noProof/>
        </w:rPr>
        <w:t>ломбард</w:t>
      </w:r>
      <w:r w:rsidR="00497507" w:rsidRPr="00A74A9F">
        <w:rPr>
          <w:noProof/>
        </w:rPr>
        <w:t>и</w:t>
      </w:r>
      <w:r w:rsidRPr="00A74A9F">
        <w:rPr>
          <w:noProof/>
        </w:rPr>
        <w:t xml:space="preserve">, </w:t>
      </w:r>
      <w:r w:rsidRPr="00A74A9F">
        <w:t>як</w:t>
      </w:r>
      <w:r w:rsidR="00497507" w:rsidRPr="00A74A9F">
        <w:t>і</w:t>
      </w:r>
      <w:r w:rsidRPr="00A74A9F">
        <w:t xml:space="preserve"> є учасник</w:t>
      </w:r>
      <w:r w:rsidR="00497507" w:rsidRPr="00A74A9F">
        <w:t>ами</w:t>
      </w:r>
      <w:r w:rsidR="001C0887">
        <w:t> </w:t>
      </w:r>
      <w:r w:rsidRPr="00A74A9F">
        <w:t>/</w:t>
      </w:r>
      <w:r w:rsidR="001C0887">
        <w:t> </w:t>
      </w:r>
      <w:r w:rsidRPr="00A74A9F">
        <w:t>відповідальн</w:t>
      </w:r>
      <w:r w:rsidR="00497507" w:rsidRPr="00A74A9F">
        <w:t xml:space="preserve">ими </w:t>
      </w:r>
      <w:r w:rsidRPr="00A74A9F">
        <w:t>особ</w:t>
      </w:r>
      <w:r w:rsidR="00497507" w:rsidRPr="00A74A9F">
        <w:t>ами</w:t>
      </w:r>
      <w:r w:rsidRPr="00A74A9F">
        <w:t xml:space="preserve"> фінансової групи</w:t>
      </w:r>
      <w:r w:rsidRPr="00A74A9F">
        <w:rPr>
          <w:noProof/>
          <w:lang w:val="ru-RU"/>
        </w:rPr>
        <w:t>;</w:t>
      </w:r>
    </w:p>
    <w:p w14:paraId="0F64AA13" w14:textId="77777777" w:rsidR="00734469" w:rsidRPr="00A74A9F" w:rsidRDefault="00734469" w:rsidP="00734469">
      <w:pPr>
        <w:pStyle w:val="af3"/>
        <w:shd w:val="clear" w:color="auto" w:fill="FFFFFF"/>
        <w:ind w:left="567"/>
        <w:contextualSpacing w:val="0"/>
        <w:rPr>
          <w:bCs/>
        </w:rPr>
      </w:pPr>
    </w:p>
    <w:p w14:paraId="18B01DFC" w14:textId="31890713" w:rsidR="009D3E26" w:rsidRPr="00A74A9F" w:rsidRDefault="009D3E26" w:rsidP="00734469">
      <w:pPr>
        <w:pStyle w:val="af3"/>
        <w:numPr>
          <w:ilvl w:val="0"/>
          <w:numId w:val="30"/>
        </w:numPr>
        <w:shd w:val="clear" w:color="auto" w:fill="FFFFFF"/>
        <w:ind w:left="0" w:firstLine="567"/>
        <w:contextualSpacing w:val="0"/>
        <w:rPr>
          <w:bCs/>
        </w:rPr>
      </w:pPr>
      <w:r w:rsidRPr="00A74A9F">
        <w:rPr>
          <w:noProof/>
          <w:lang w:val="ru-RU"/>
        </w:rPr>
        <w:t>кредитні спілки</w:t>
      </w:r>
      <w:r w:rsidRPr="00A74A9F">
        <w:rPr>
          <w:noProof/>
          <w:lang w:val="en-US"/>
        </w:rPr>
        <w:t>;</w:t>
      </w:r>
    </w:p>
    <w:p w14:paraId="70E12CF4" w14:textId="77777777" w:rsidR="00734469" w:rsidRPr="00A74A9F" w:rsidRDefault="00734469" w:rsidP="00734469">
      <w:pPr>
        <w:pStyle w:val="af3"/>
        <w:shd w:val="clear" w:color="auto" w:fill="FFFFFF"/>
        <w:ind w:left="567"/>
        <w:contextualSpacing w:val="0"/>
        <w:rPr>
          <w:bCs/>
        </w:rPr>
      </w:pPr>
    </w:p>
    <w:p w14:paraId="3570B1EE" w14:textId="7A3AF012" w:rsidR="009D3E26" w:rsidRPr="00A74A9F" w:rsidRDefault="00566219" w:rsidP="00734469">
      <w:pPr>
        <w:pStyle w:val="af3"/>
        <w:numPr>
          <w:ilvl w:val="0"/>
          <w:numId w:val="30"/>
        </w:numPr>
        <w:shd w:val="clear" w:color="auto" w:fill="FFFFFF"/>
        <w:ind w:left="0" w:firstLine="567"/>
        <w:contextualSpacing w:val="0"/>
        <w:rPr>
          <w:bCs/>
        </w:rPr>
      </w:pPr>
      <w:r w:rsidRPr="00A74A9F">
        <w:rPr>
          <w:noProof/>
        </w:rPr>
        <w:t>лізингодавці</w:t>
      </w:r>
      <w:r w:rsidR="0054587D" w:rsidRPr="00A74A9F">
        <w:rPr>
          <w:noProof/>
        </w:rPr>
        <w:t>в</w:t>
      </w:r>
      <w:r w:rsidRPr="00A74A9F">
        <w:rPr>
          <w:noProof/>
          <w:lang w:val="ru-RU"/>
        </w:rPr>
        <w:t>;</w:t>
      </w:r>
    </w:p>
    <w:p w14:paraId="4218CA17" w14:textId="77777777" w:rsidR="00734469" w:rsidRPr="00A74A9F" w:rsidRDefault="00734469" w:rsidP="00734469">
      <w:pPr>
        <w:pStyle w:val="af3"/>
        <w:shd w:val="clear" w:color="auto" w:fill="FFFFFF"/>
        <w:ind w:left="567"/>
        <w:contextualSpacing w:val="0"/>
        <w:rPr>
          <w:bCs/>
        </w:rPr>
      </w:pPr>
    </w:p>
    <w:p w14:paraId="21D35F13" w14:textId="449AD86D" w:rsidR="009D3E26" w:rsidRPr="00A74A9F" w:rsidRDefault="009D3E26" w:rsidP="00734469">
      <w:pPr>
        <w:shd w:val="clear" w:color="auto" w:fill="FFFFFF"/>
        <w:ind w:firstLine="567"/>
        <w:rPr>
          <w:shd w:val="clear" w:color="auto" w:fill="FFFFFF"/>
        </w:rPr>
      </w:pPr>
      <w:r w:rsidRPr="00A74A9F">
        <w:rPr>
          <w:bCs/>
        </w:rPr>
        <w:lastRenderedPageBreak/>
        <w:t xml:space="preserve">5) фінансові установи, які мають ліцензії на </w:t>
      </w:r>
      <w:r w:rsidR="009F7023" w:rsidRPr="009F7023">
        <w:rPr>
          <w:bCs/>
        </w:rPr>
        <w:t xml:space="preserve">провадження діяльності з надання </w:t>
      </w:r>
      <w:r w:rsidR="009F7023" w:rsidRPr="00F67C59">
        <w:rPr>
          <w:color w:val="000000"/>
        </w:rPr>
        <w:t>таких фінансових послуг</w:t>
      </w:r>
      <w:r w:rsidR="009F7023">
        <w:rPr>
          <w:color w:val="000000"/>
        </w:rPr>
        <w:t>:</w:t>
      </w:r>
      <w:r w:rsidR="0033581C" w:rsidRPr="0033581C">
        <w:rPr>
          <w:bCs/>
        </w:rPr>
        <w:t xml:space="preserve"> </w:t>
      </w:r>
      <w:r w:rsidR="006A56BB" w:rsidRPr="00A74A9F">
        <w:rPr>
          <w:bCs/>
        </w:rPr>
        <w:t xml:space="preserve">фінансовий лізинг, </w:t>
      </w:r>
      <w:r w:rsidRPr="00A74A9F">
        <w:rPr>
          <w:shd w:val="clear" w:color="auto" w:fill="FFFFFF"/>
        </w:rPr>
        <w:t xml:space="preserve">надання коштів у позику, </w:t>
      </w:r>
      <w:r w:rsidR="007317B6" w:rsidRPr="00A74A9F">
        <w:rPr>
          <w:shd w:val="clear" w:color="auto" w:fill="FFFFFF"/>
        </w:rPr>
        <w:t xml:space="preserve">в тому числі і на умовах фінансового кредиту, </w:t>
      </w:r>
      <w:r w:rsidRPr="00A74A9F">
        <w:rPr>
          <w:shd w:val="clear" w:color="auto" w:fill="FFFFFF"/>
        </w:rPr>
        <w:t>надання гарантій, факторинг (далі</w:t>
      </w:r>
      <w:r w:rsidR="001375FA">
        <w:rPr>
          <w:shd w:val="clear" w:color="auto" w:fill="FFFFFF"/>
          <w:lang w:val="en-US"/>
        </w:rPr>
        <w:t> </w:t>
      </w:r>
      <w:r w:rsidRPr="00A74A9F">
        <w:rPr>
          <w:shd w:val="clear" w:color="auto" w:fill="FFFFFF"/>
        </w:rPr>
        <w:t>– фінансові компанії).</w:t>
      </w:r>
    </w:p>
    <w:p w14:paraId="596EE01C" w14:textId="77777777" w:rsidR="00734469" w:rsidRPr="00A74A9F" w:rsidRDefault="00734469" w:rsidP="00734469">
      <w:pPr>
        <w:shd w:val="clear" w:color="auto" w:fill="FFFFFF"/>
        <w:ind w:firstLine="567"/>
        <w:rPr>
          <w:shd w:val="clear" w:color="auto" w:fill="FFFFFF"/>
        </w:rPr>
      </w:pPr>
    </w:p>
    <w:p w14:paraId="5ED00036" w14:textId="51B2A606" w:rsidR="00F96DA1" w:rsidRPr="00A74A9F" w:rsidRDefault="00F42162" w:rsidP="00734469">
      <w:pPr>
        <w:ind w:firstLine="567"/>
      </w:pPr>
      <w:r w:rsidRPr="00A74A9F">
        <w:t>5</w:t>
      </w:r>
      <w:r w:rsidR="00F96DA1" w:rsidRPr="00A74A9F">
        <w:t xml:space="preserve">. Національний банк під час оцінювання ступеня ризику та суспільної важливості учасників ринку небанківських фінансових послуг використовує ризик-орієнтований підхід </w:t>
      </w:r>
      <w:r w:rsidR="00AF4903" w:rsidRPr="00A74A9F">
        <w:t>з урахуванням</w:t>
      </w:r>
      <w:r w:rsidR="00F96DA1" w:rsidRPr="00A74A9F">
        <w:t xml:space="preserve"> принцип</w:t>
      </w:r>
      <w:r w:rsidR="00AF4903" w:rsidRPr="00A74A9F">
        <w:t>ів</w:t>
      </w:r>
      <w:r w:rsidR="00F96DA1" w:rsidRPr="00A74A9F">
        <w:t xml:space="preserve"> </w:t>
      </w:r>
      <w:r w:rsidR="00E00212" w:rsidRPr="00A74A9F">
        <w:t>пропорційності та доцільності</w:t>
      </w:r>
      <w:r w:rsidR="00AF4903" w:rsidRPr="00A74A9F">
        <w:t xml:space="preserve"> </w:t>
      </w:r>
      <w:r w:rsidR="00F96DA1" w:rsidRPr="00A74A9F">
        <w:t>щодо визначення інтенсивності наглядових дій (</w:t>
      </w:r>
      <w:r w:rsidR="00E00212" w:rsidRPr="00A74A9F">
        <w:t xml:space="preserve">періодичності </w:t>
      </w:r>
      <w:r w:rsidR="00206CE8" w:rsidRPr="00A74A9F">
        <w:t xml:space="preserve">проведення планових </w:t>
      </w:r>
      <w:r w:rsidR="00E00212" w:rsidRPr="00A74A9F">
        <w:t>інспекційних перевірок</w:t>
      </w:r>
      <w:r w:rsidR="006E03D1" w:rsidRPr="00A74A9F">
        <w:t>;</w:t>
      </w:r>
      <w:r w:rsidR="00DC4067" w:rsidRPr="00A74A9F">
        <w:t xml:space="preserve"> </w:t>
      </w:r>
      <w:r w:rsidR="00E00212" w:rsidRPr="00A74A9F">
        <w:t>під час здійснення безвиїзного нагляду</w:t>
      </w:r>
      <w:r w:rsidR="00F96DA1" w:rsidRPr="00A74A9F">
        <w:t xml:space="preserve">), що передбачає </w:t>
      </w:r>
      <w:r w:rsidR="00311E0D">
        <w:t>зосередження</w:t>
      </w:r>
      <w:r w:rsidR="0033581C" w:rsidRPr="00A74A9F">
        <w:t xml:space="preserve"> </w:t>
      </w:r>
      <w:r w:rsidR="00F96DA1" w:rsidRPr="00A74A9F">
        <w:t>нагляду на тих учасниках ринку небанківських фінансових послуг (крім споживачів фінансових послуг) (далі – учасники ринку небанківських фінансових послуг), які мають вищий ступінь</w:t>
      </w:r>
      <w:r w:rsidR="001071E8" w:rsidRPr="00A74A9F">
        <w:t xml:space="preserve"> ризику та </w:t>
      </w:r>
      <w:r w:rsidR="00272601" w:rsidRPr="00A74A9F">
        <w:t xml:space="preserve">вищу </w:t>
      </w:r>
      <w:r w:rsidR="001071E8" w:rsidRPr="00A74A9F">
        <w:t>групу</w:t>
      </w:r>
      <w:r w:rsidR="00F96DA1" w:rsidRPr="00A74A9F">
        <w:t xml:space="preserve"> суспільної важливості</w:t>
      </w:r>
      <w:r w:rsidR="00260448" w:rsidRPr="00A74A9F">
        <w:t>.</w:t>
      </w:r>
    </w:p>
    <w:p w14:paraId="6CA512DF" w14:textId="77777777" w:rsidR="00F96DA1" w:rsidRPr="00A74A9F" w:rsidRDefault="00F96DA1" w:rsidP="00734469">
      <w:pPr>
        <w:shd w:val="clear" w:color="auto" w:fill="FFFFFF"/>
        <w:ind w:firstLine="567"/>
        <w:rPr>
          <w:iCs/>
          <w:shd w:val="clear" w:color="auto" w:fill="FFFFFF"/>
        </w:rPr>
      </w:pPr>
    </w:p>
    <w:p w14:paraId="13D1ED80" w14:textId="554BEFD4" w:rsidR="00F96DA1" w:rsidRPr="00A74A9F" w:rsidRDefault="00F42162" w:rsidP="00734469">
      <w:pPr>
        <w:shd w:val="clear" w:color="auto" w:fill="FFFFFF"/>
        <w:ind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6</w:t>
      </w:r>
      <w:r w:rsidR="003E7702" w:rsidRPr="00A74A9F">
        <w:rPr>
          <w:iCs/>
          <w:shd w:val="clear" w:color="auto" w:fill="FFFFFF"/>
        </w:rPr>
        <w:t xml:space="preserve">. Національний банк оцінює ступінь ризику та </w:t>
      </w:r>
      <w:r w:rsidR="006939CB" w:rsidRPr="00A74A9F">
        <w:rPr>
          <w:iCs/>
          <w:shd w:val="clear" w:color="auto" w:fill="FFFFFF"/>
        </w:rPr>
        <w:t xml:space="preserve">суспільну важливість </w:t>
      </w:r>
      <w:r w:rsidR="003E7702" w:rsidRPr="00A74A9F">
        <w:rPr>
          <w:iCs/>
          <w:shd w:val="clear" w:color="auto" w:fill="FFFFFF"/>
        </w:rPr>
        <w:t>учасників ринку небанківських фінансових послуг один раз на рік, не пізніше 15</w:t>
      </w:r>
      <w:r w:rsidR="00A712D0">
        <w:rPr>
          <w:iCs/>
          <w:shd w:val="clear" w:color="auto" w:fill="FFFFFF"/>
        </w:rPr>
        <w:t> </w:t>
      </w:r>
      <w:r w:rsidR="003E7702" w:rsidRPr="00A74A9F">
        <w:rPr>
          <w:iCs/>
          <w:shd w:val="clear" w:color="auto" w:fill="FFFFFF"/>
        </w:rPr>
        <w:t xml:space="preserve">грудня року, у якому проводиться оцінювання. </w:t>
      </w:r>
      <w:r w:rsidR="00F96DA1" w:rsidRPr="00A74A9F">
        <w:rPr>
          <w:iCs/>
          <w:shd w:val="clear" w:color="auto" w:fill="FFFFFF"/>
        </w:rPr>
        <w:t xml:space="preserve">Періодом оцінювання є період з 01 жовтня року, що передує року проведення Національним банком </w:t>
      </w:r>
      <w:r w:rsidR="00F96DA1" w:rsidRPr="00A74A9F">
        <w:rPr>
          <w:bCs/>
          <w:shd w:val="clear" w:color="auto" w:fill="FFFFFF"/>
        </w:rPr>
        <w:t>оцінювання</w:t>
      </w:r>
      <w:r w:rsidR="00F96DA1" w:rsidRPr="00A74A9F">
        <w:rPr>
          <w:iCs/>
          <w:shd w:val="clear" w:color="auto" w:fill="FFFFFF"/>
        </w:rPr>
        <w:t>, до 30 вересня поточного року, у якому проводиться таке оцінювання. Датою оцінювання є остання дата періоду оцінювання.</w:t>
      </w:r>
    </w:p>
    <w:p w14:paraId="106C1553" w14:textId="1FE21044" w:rsidR="00F96DA1" w:rsidRPr="00A74A9F" w:rsidRDefault="00F96DA1" w:rsidP="00734469">
      <w:pPr>
        <w:shd w:val="clear" w:color="auto" w:fill="FFFFFF"/>
        <w:ind w:firstLine="567"/>
      </w:pPr>
      <w:r w:rsidRPr="00A74A9F">
        <w:t>Національний банк, якщо немає повної (за весь період, що підлягає оцінюванню) інформації, потрібної для проведення оцінювання</w:t>
      </w:r>
      <w:r w:rsidR="001071E8" w:rsidRPr="00A74A9F">
        <w:t xml:space="preserve"> ступеня ризику та суспільної важливості</w:t>
      </w:r>
      <w:r w:rsidR="003E7702" w:rsidRPr="00A74A9F">
        <w:t xml:space="preserve"> </w:t>
      </w:r>
      <w:r w:rsidRPr="00A74A9F">
        <w:t xml:space="preserve">учасника ринку небанківських фінансових послуг за критеріями, визначеними цим Положенням, </w:t>
      </w:r>
      <w:r w:rsidR="001071E8" w:rsidRPr="00A74A9F">
        <w:t>проводить оцінювання</w:t>
      </w:r>
      <w:r w:rsidRPr="00A74A9F">
        <w:t xml:space="preserve"> на підставі </w:t>
      </w:r>
      <w:r w:rsidR="009E54C6">
        <w:t xml:space="preserve">наявної </w:t>
      </w:r>
      <w:r w:rsidRPr="00A74A9F">
        <w:t xml:space="preserve">інформації за </w:t>
      </w:r>
      <w:r w:rsidR="00896FA4">
        <w:t xml:space="preserve">звітні </w:t>
      </w:r>
      <w:r w:rsidRPr="00A74A9F">
        <w:t>період</w:t>
      </w:r>
      <w:r w:rsidR="00896FA4">
        <w:t>и</w:t>
      </w:r>
      <w:r w:rsidRPr="00A74A9F">
        <w:t xml:space="preserve"> в межах </w:t>
      </w:r>
      <w:r w:rsidR="00EE422D" w:rsidRPr="00A74A9F">
        <w:t xml:space="preserve">із 01 жовтня року, що передує року оцінювання Національним банком, до 30 вересня поточного року. </w:t>
      </w:r>
    </w:p>
    <w:p w14:paraId="79E43F8D" w14:textId="77777777" w:rsidR="00EE422D" w:rsidRPr="00A74A9F" w:rsidRDefault="00EE422D" w:rsidP="00734469">
      <w:pPr>
        <w:shd w:val="clear" w:color="auto" w:fill="FFFFFF"/>
        <w:ind w:firstLine="567"/>
        <w:rPr>
          <w:iCs/>
          <w:shd w:val="clear" w:color="auto" w:fill="FFFFFF"/>
        </w:rPr>
      </w:pPr>
    </w:p>
    <w:p w14:paraId="1D7AB8F1" w14:textId="21204AA6" w:rsidR="00F96DA1" w:rsidRPr="00A74A9F" w:rsidRDefault="00F42162" w:rsidP="00734469">
      <w:pPr>
        <w:shd w:val="clear" w:color="auto" w:fill="FFFFFF"/>
        <w:ind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7</w:t>
      </w:r>
      <w:r w:rsidR="00F96DA1" w:rsidRPr="00A74A9F">
        <w:rPr>
          <w:iCs/>
          <w:shd w:val="clear" w:color="auto" w:fill="FFFFFF"/>
        </w:rPr>
        <w:t xml:space="preserve">. </w:t>
      </w:r>
      <w:r w:rsidR="00F96DA1" w:rsidRPr="00A74A9F">
        <w:rPr>
          <w:iCs/>
        </w:rPr>
        <w:t>План проведення Національним банком інспекційних перевірок учасників ринку небанківських фінансо</w:t>
      </w:r>
      <w:r w:rsidR="00F96DA1" w:rsidRPr="00A74A9F">
        <w:rPr>
          <w:iCs/>
          <w:shd w:val="clear" w:color="auto" w:fill="FFFFFF"/>
        </w:rPr>
        <w:t xml:space="preserve">вих послуг на наступний рік </w:t>
      </w:r>
      <w:r w:rsidR="00726058" w:rsidRPr="00A74A9F">
        <w:rPr>
          <w:iCs/>
        </w:rPr>
        <w:t>складається</w:t>
      </w:r>
      <w:r w:rsidR="00726058" w:rsidRPr="00A74A9F">
        <w:rPr>
          <w:iCs/>
          <w:shd w:val="clear" w:color="auto" w:fill="FFFFFF"/>
        </w:rPr>
        <w:t xml:space="preserve"> </w:t>
      </w:r>
      <w:r w:rsidR="001071E8" w:rsidRPr="00A74A9F">
        <w:rPr>
          <w:iCs/>
          <w:shd w:val="clear" w:color="auto" w:fill="FFFFFF"/>
        </w:rPr>
        <w:t xml:space="preserve">за результатами </w:t>
      </w:r>
      <w:r w:rsidR="00F96DA1" w:rsidRPr="00A74A9F">
        <w:rPr>
          <w:bCs/>
          <w:shd w:val="clear" w:color="auto" w:fill="FFFFFF"/>
        </w:rPr>
        <w:t>оцінювання</w:t>
      </w:r>
      <w:r w:rsidR="00F96DA1" w:rsidRPr="00A74A9F" w:rsidDel="00A43B40">
        <w:rPr>
          <w:iCs/>
          <w:shd w:val="clear" w:color="auto" w:fill="FFFFFF"/>
        </w:rPr>
        <w:t xml:space="preserve"> </w:t>
      </w:r>
      <w:r w:rsidR="00F96DA1" w:rsidRPr="00A74A9F">
        <w:rPr>
          <w:iCs/>
          <w:shd w:val="clear" w:color="auto" w:fill="FFFFFF"/>
        </w:rPr>
        <w:t>ступеня ризику та суспільної важливості</w:t>
      </w:r>
      <w:r w:rsidR="00F96DA1" w:rsidRPr="00A74A9F">
        <w:t xml:space="preserve"> </w:t>
      </w:r>
      <w:r w:rsidR="00F96DA1" w:rsidRPr="00A74A9F">
        <w:rPr>
          <w:iCs/>
          <w:shd w:val="clear" w:color="auto" w:fill="FFFFFF"/>
        </w:rPr>
        <w:t xml:space="preserve">учасників ринку небанківських фінансових послуг з урахуванням </w:t>
      </w:r>
      <w:r w:rsidR="00F96DA1" w:rsidRPr="00A74A9F">
        <w:t>наявних наглядових ресурсів та пріоритетів</w:t>
      </w:r>
      <w:r w:rsidR="00027BF3" w:rsidRPr="00A74A9F">
        <w:rPr>
          <w:iCs/>
          <w:shd w:val="clear" w:color="auto" w:fill="FFFFFF"/>
        </w:rPr>
        <w:t>.</w:t>
      </w:r>
    </w:p>
    <w:p w14:paraId="0815BA57" w14:textId="77777777" w:rsidR="00F96DA1" w:rsidRPr="00A74A9F" w:rsidRDefault="00F96DA1" w:rsidP="00734469">
      <w:pPr>
        <w:shd w:val="clear" w:color="auto" w:fill="FFFFFF"/>
        <w:ind w:firstLine="567"/>
        <w:rPr>
          <w:iCs/>
          <w:shd w:val="clear" w:color="auto" w:fill="FFFFFF"/>
        </w:rPr>
      </w:pPr>
    </w:p>
    <w:p w14:paraId="449A4557" w14:textId="6BA33A70" w:rsidR="00F96DA1" w:rsidRPr="00A74A9F" w:rsidRDefault="00F42162" w:rsidP="00734469">
      <w:pPr>
        <w:shd w:val="clear" w:color="auto" w:fill="FFFFFF"/>
        <w:ind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8</w:t>
      </w:r>
      <w:r w:rsidR="00F96DA1" w:rsidRPr="00A74A9F">
        <w:rPr>
          <w:iCs/>
          <w:shd w:val="clear" w:color="auto" w:fill="FFFFFF"/>
        </w:rPr>
        <w:t xml:space="preserve">. Національний банк на підставі </w:t>
      </w:r>
      <w:r w:rsidR="00726058" w:rsidRPr="00A74A9F">
        <w:rPr>
          <w:iCs/>
          <w:shd w:val="clear" w:color="auto" w:fill="FFFFFF"/>
        </w:rPr>
        <w:t>ризик-орієнтованого підходу</w:t>
      </w:r>
      <w:r w:rsidR="007774FF">
        <w:rPr>
          <w:iCs/>
          <w:shd w:val="clear" w:color="auto" w:fill="FFFFFF"/>
        </w:rPr>
        <w:t>,</w:t>
      </w:r>
      <w:r w:rsidR="00726058" w:rsidRPr="00A74A9F">
        <w:rPr>
          <w:iCs/>
          <w:shd w:val="clear" w:color="auto" w:fill="FFFFFF"/>
        </w:rPr>
        <w:t xml:space="preserve"> враховуючи принцип</w:t>
      </w:r>
      <w:r w:rsidR="007774FF">
        <w:rPr>
          <w:iCs/>
          <w:shd w:val="clear" w:color="auto" w:fill="FFFFFF"/>
        </w:rPr>
        <w:t>и</w:t>
      </w:r>
      <w:r w:rsidR="00726058" w:rsidRPr="00A74A9F">
        <w:rPr>
          <w:iCs/>
          <w:shd w:val="clear" w:color="auto" w:fill="FFFFFF"/>
        </w:rPr>
        <w:t xml:space="preserve"> пропорційності</w:t>
      </w:r>
      <w:r w:rsidR="00F16049" w:rsidRPr="00A74A9F">
        <w:rPr>
          <w:iCs/>
          <w:shd w:val="clear" w:color="auto" w:fill="FFFFFF"/>
        </w:rPr>
        <w:t xml:space="preserve"> та доцільності</w:t>
      </w:r>
      <w:r w:rsidR="007774FF">
        <w:rPr>
          <w:iCs/>
          <w:shd w:val="clear" w:color="auto" w:fill="FFFFFF"/>
        </w:rPr>
        <w:t>,</w:t>
      </w:r>
      <w:r w:rsidR="00F96DA1" w:rsidRPr="00A74A9F">
        <w:rPr>
          <w:iCs/>
          <w:shd w:val="clear" w:color="auto" w:fill="FFFFFF"/>
        </w:rPr>
        <w:t xml:space="preserve"> має право визначити учасників ринку небанківських фінансових послуг, </w:t>
      </w:r>
      <w:r w:rsidR="00483B0B">
        <w:rPr>
          <w:iCs/>
          <w:shd w:val="clear" w:color="auto" w:fill="FFFFFF"/>
        </w:rPr>
        <w:t xml:space="preserve">які не відносяться до </w:t>
      </w:r>
      <w:r w:rsidR="00F96DA1" w:rsidRPr="00A74A9F">
        <w:rPr>
          <w:iCs/>
          <w:shd w:val="clear" w:color="auto" w:fill="FFFFFF"/>
        </w:rPr>
        <w:t>груп суспільної важливості</w:t>
      </w:r>
      <w:r w:rsidR="00F96DA1" w:rsidRPr="00A74A9F">
        <w:t xml:space="preserve"> учасників ринку небанківських фінансових послуг</w:t>
      </w:r>
      <w:r w:rsidR="00F96DA1" w:rsidRPr="00A74A9F">
        <w:rPr>
          <w:iCs/>
          <w:shd w:val="clear" w:color="auto" w:fill="FFFFFF"/>
        </w:rPr>
        <w:t xml:space="preserve">. Такі учасники не включаються до </w:t>
      </w:r>
      <w:r w:rsidR="00726058" w:rsidRPr="00A74A9F">
        <w:rPr>
          <w:iCs/>
          <w:shd w:val="clear" w:color="auto" w:fill="FFFFFF"/>
        </w:rPr>
        <w:t>плану проведення Національним банком інспекційних перевірок</w:t>
      </w:r>
      <w:r w:rsidR="00EE461A" w:rsidRPr="00A74A9F">
        <w:rPr>
          <w:iCs/>
          <w:shd w:val="clear" w:color="auto" w:fill="FFFFFF"/>
        </w:rPr>
        <w:t xml:space="preserve"> на наступний рік</w:t>
      </w:r>
      <w:r w:rsidR="00726058" w:rsidRPr="00A74A9F">
        <w:rPr>
          <w:iCs/>
          <w:shd w:val="clear" w:color="auto" w:fill="FFFFFF"/>
          <w:lang w:val="ru-RU"/>
        </w:rPr>
        <w:t>.</w:t>
      </w:r>
      <w:r w:rsidR="00F96DA1" w:rsidRPr="00A74A9F">
        <w:rPr>
          <w:iCs/>
          <w:shd w:val="clear" w:color="auto" w:fill="FFFFFF"/>
        </w:rPr>
        <w:t xml:space="preserve"> Національний банк здійснює безвиїзний нагляд та/або проводить позапланові інспекційні перевірки </w:t>
      </w:r>
      <w:r w:rsidR="004655DC">
        <w:rPr>
          <w:iCs/>
          <w:shd w:val="clear" w:color="auto" w:fill="FFFFFF"/>
        </w:rPr>
        <w:t>таких</w:t>
      </w:r>
      <w:r w:rsidR="004655DC" w:rsidRPr="00A74A9F">
        <w:rPr>
          <w:iCs/>
          <w:shd w:val="clear" w:color="auto" w:fill="FFFFFF"/>
        </w:rPr>
        <w:t xml:space="preserve"> </w:t>
      </w:r>
      <w:r w:rsidR="00F96DA1" w:rsidRPr="00A74A9F">
        <w:rPr>
          <w:iCs/>
          <w:shd w:val="clear" w:color="auto" w:fill="FFFFFF"/>
        </w:rPr>
        <w:t xml:space="preserve">учасників у випадках, установлених законодавством України </w:t>
      </w:r>
      <w:r w:rsidR="00D93B73" w:rsidRPr="00A74A9F">
        <w:rPr>
          <w:iCs/>
          <w:shd w:val="clear" w:color="auto" w:fill="FFFFFF"/>
        </w:rPr>
        <w:t xml:space="preserve">та </w:t>
      </w:r>
      <w:r w:rsidR="00F96DA1" w:rsidRPr="00A74A9F">
        <w:rPr>
          <w:iCs/>
          <w:shd w:val="clear" w:color="auto" w:fill="FFFFFF"/>
        </w:rPr>
        <w:t>нормативно-правовими актами Національного банку.</w:t>
      </w:r>
    </w:p>
    <w:p w14:paraId="6D62FB1C" w14:textId="77777777" w:rsidR="00F96DA1" w:rsidRPr="00A74A9F" w:rsidRDefault="00F96DA1" w:rsidP="00734469">
      <w:pPr>
        <w:shd w:val="clear" w:color="auto" w:fill="FFFFFF"/>
        <w:ind w:firstLine="567"/>
        <w:jc w:val="center"/>
        <w:rPr>
          <w:iCs/>
          <w:shd w:val="clear" w:color="auto" w:fill="FFFFFF"/>
        </w:rPr>
      </w:pPr>
    </w:p>
    <w:p w14:paraId="09485F94" w14:textId="358147B1" w:rsidR="00F96DA1" w:rsidRPr="00A74A9F" w:rsidRDefault="00F96DA1" w:rsidP="009F52AF">
      <w:pPr>
        <w:keepNext/>
        <w:shd w:val="clear" w:color="auto" w:fill="FFFFFF"/>
        <w:jc w:val="center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lastRenderedPageBreak/>
        <w:t>ІІ. Критерії та порядок прове</w:t>
      </w:r>
      <w:r w:rsidR="00D93B73" w:rsidRPr="00A74A9F">
        <w:rPr>
          <w:iCs/>
          <w:shd w:val="clear" w:color="auto" w:fill="FFFFFF"/>
        </w:rPr>
        <w:t>дення оцінювання ступеня ризику</w:t>
      </w:r>
      <w:r w:rsidR="00280CCE" w:rsidRPr="00A74A9F">
        <w:rPr>
          <w:iCs/>
          <w:shd w:val="clear" w:color="auto" w:fill="FFFFFF"/>
        </w:rPr>
        <w:t xml:space="preserve"> та</w:t>
      </w:r>
      <w:r w:rsidR="00D93B73" w:rsidRPr="00A74A9F">
        <w:rPr>
          <w:iCs/>
          <w:shd w:val="clear" w:color="auto" w:fill="FFFFFF"/>
        </w:rPr>
        <w:t xml:space="preserve"> </w:t>
      </w:r>
    </w:p>
    <w:p w14:paraId="388774BA" w14:textId="39A38621" w:rsidR="00F96DA1" w:rsidRPr="00A74A9F" w:rsidRDefault="00280CCE" w:rsidP="009F52AF">
      <w:pPr>
        <w:keepNext/>
        <w:shd w:val="clear" w:color="auto" w:fill="FFFFFF"/>
        <w:jc w:val="center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с</w:t>
      </w:r>
      <w:r w:rsidR="00F96DA1" w:rsidRPr="00A74A9F">
        <w:rPr>
          <w:iCs/>
          <w:shd w:val="clear" w:color="auto" w:fill="FFFFFF"/>
        </w:rPr>
        <w:t>успільн</w:t>
      </w:r>
      <w:r w:rsidRPr="00A74A9F">
        <w:rPr>
          <w:iCs/>
          <w:shd w:val="clear" w:color="auto" w:fill="FFFFFF"/>
        </w:rPr>
        <w:t>ої</w:t>
      </w:r>
      <w:r w:rsidR="00F96DA1" w:rsidRPr="00A74A9F">
        <w:rPr>
          <w:iCs/>
          <w:shd w:val="clear" w:color="auto" w:fill="FFFFFF"/>
        </w:rPr>
        <w:t xml:space="preserve"> </w:t>
      </w:r>
      <w:r w:rsidRPr="00A74A9F">
        <w:rPr>
          <w:iCs/>
          <w:shd w:val="clear" w:color="auto" w:fill="FFFFFF"/>
        </w:rPr>
        <w:t xml:space="preserve">важливості </w:t>
      </w:r>
      <w:r w:rsidR="00F96DA1" w:rsidRPr="00A74A9F">
        <w:rPr>
          <w:iCs/>
          <w:shd w:val="clear" w:color="auto" w:fill="FFFFFF"/>
        </w:rPr>
        <w:t>учасника ринку небанківських фінансових послуг</w:t>
      </w:r>
    </w:p>
    <w:p w14:paraId="3F95D3BE" w14:textId="77777777" w:rsidR="00F96DA1" w:rsidRPr="00A74A9F" w:rsidRDefault="00F96DA1" w:rsidP="00734469">
      <w:pPr>
        <w:shd w:val="clear" w:color="auto" w:fill="FFFFFF"/>
        <w:ind w:firstLine="567"/>
        <w:rPr>
          <w:iCs/>
          <w:shd w:val="clear" w:color="auto" w:fill="FFFFFF"/>
        </w:rPr>
      </w:pPr>
    </w:p>
    <w:p w14:paraId="71E9077F" w14:textId="3E72CBD7" w:rsidR="00F96DA1" w:rsidRPr="00A74A9F" w:rsidRDefault="00F42162" w:rsidP="00734469">
      <w:pPr>
        <w:shd w:val="clear" w:color="auto" w:fill="FFFFFF"/>
        <w:ind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9</w:t>
      </w:r>
      <w:r w:rsidR="00F96DA1" w:rsidRPr="00A74A9F">
        <w:rPr>
          <w:iCs/>
          <w:shd w:val="clear" w:color="auto" w:fill="FFFFFF"/>
        </w:rPr>
        <w:t>. Критеріями оцінювання ступеня ризику учасника ринку небанківських фінансових послуг є:</w:t>
      </w:r>
    </w:p>
    <w:p w14:paraId="13D18D6C" w14:textId="77777777" w:rsidR="00F96DA1" w:rsidRPr="00A74A9F" w:rsidRDefault="00F96DA1" w:rsidP="00734469">
      <w:pPr>
        <w:shd w:val="clear" w:color="auto" w:fill="FFFFFF"/>
        <w:ind w:firstLine="567"/>
        <w:rPr>
          <w:iCs/>
          <w:shd w:val="clear" w:color="auto" w:fill="FFFFFF"/>
        </w:rPr>
      </w:pPr>
    </w:p>
    <w:p w14:paraId="692B2C7E" w14:textId="4F8BED9D" w:rsidR="00F96DA1" w:rsidRPr="00A74A9F" w:rsidRDefault="00F96DA1" w:rsidP="00734469">
      <w:pPr>
        <w:ind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 xml:space="preserve">1) </w:t>
      </w:r>
      <w:r w:rsidR="00214D28" w:rsidRPr="00A74A9F">
        <w:rPr>
          <w:iCs/>
          <w:shd w:val="clear" w:color="auto" w:fill="FFFFFF"/>
        </w:rPr>
        <w:t>стан управління ризиками та внутрішнього контролю</w:t>
      </w:r>
      <w:r w:rsidRPr="00A74A9F">
        <w:rPr>
          <w:iCs/>
          <w:shd w:val="clear" w:color="auto" w:fill="FFFFFF"/>
        </w:rPr>
        <w:t>;</w:t>
      </w:r>
    </w:p>
    <w:p w14:paraId="3856C9D2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74895447" w14:textId="16603B09" w:rsidR="00F96DA1" w:rsidRPr="00A74A9F" w:rsidRDefault="00F96DA1" w:rsidP="00734469">
      <w:pPr>
        <w:ind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 xml:space="preserve">2) </w:t>
      </w:r>
      <w:r w:rsidR="00214D28" w:rsidRPr="00A74A9F">
        <w:rPr>
          <w:iCs/>
          <w:shd w:val="clear" w:color="auto" w:fill="FFFFFF"/>
        </w:rPr>
        <w:t>показники діяльності</w:t>
      </w:r>
      <w:r w:rsidRPr="00A74A9F">
        <w:rPr>
          <w:iCs/>
          <w:shd w:val="clear" w:color="auto" w:fill="FFFFFF"/>
        </w:rPr>
        <w:t>;</w:t>
      </w:r>
    </w:p>
    <w:p w14:paraId="53732393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03289AF1" w14:textId="34E58F14" w:rsidR="00F96DA1" w:rsidRPr="00A74A9F" w:rsidRDefault="00F96DA1" w:rsidP="00734469">
      <w:pPr>
        <w:ind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 xml:space="preserve">3) </w:t>
      </w:r>
      <w:r w:rsidR="00CA561E" w:rsidRPr="00A74A9F">
        <w:rPr>
          <w:iCs/>
          <w:shd w:val="clear" w:color="auto" w:fill="FFFFFF"/>
        </w:rPr>
        <w:t>дотримання обов’язкових критеріїв і нормативів достатності капіталу та платоспроможності, ліквідності, прибутковості, якості активів і ризиковості операцій, інших показників і вимог,</w:t>
      </w:r>
      <w:r w:rsidR="00CA561E" w:rsidRPr="00A74A9F">
        <w:rPr>
          <w:rFonts w:eastAsia="SimSun"/>
          <w:shd w:val="clear" w:color="auto" w:fill="FFFFFF"/>
        </w:rPr>
        <w:t xml:space="preserve"> </w:t>
      </w:r>
      <w:r w:rsidR="00CA561E" w:rsidRPr="00A74A9F">
        <w:rPr>
          <w:iCs/>
          <w:shd w:val="clear" w:color="auto" w:fill="FFFFFF"/>
        </w:rPr>
        <w:t>що обмежують ризики за операціями з фінансовими активами</w:t>
      </w:r>
      <w:r w:rsidRPr="00A74A9F">
        <w:rPr>
          <w:iCs/>
          <w:shd w:val="clear" w:color="auto" w:fill="FFFFFF"/>
        </w:rPr>
        <w:t>.</w:t>
      </w:r>
    </w:p>
    <w:p w14:paraId="47CCCF8A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1742BF9F" w14:textId="7616B212" w:rsidR="00F96DA1" w:rsidRPr="00A74A9F" w:rsidRDefault="00F42162" w:rsidP="00734469">
      <w:pPr>
        <w:ind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10</w:t>
      </w:r>
      <w:r w:rsidR="00F96DA1" w:rsidRPr="00A74A9F">
        <w:rPr>
          <w:iCs/>
          <w:shd w:val="clear" w:color="auto" w:fill="FFFFFF"/>
        </w:rPr>
        <w:t xml:space="preserve">. Кожен </w:t>
      </w:r>
      <w:r w:rsidR="008E415F">
        <w:rPr>
          <w:iCs/>
          <w:shd w:val="clear" w:color="auto" w:fill="FFFFFF"/>
        </w:rPr>
        <w:t>і</w:t>
      </w:r>
      <w:r w:rsidR="00F96DA1" w:rsidRPr="00A74A9F">
        <w:rPr>
          <w:iCs/>
          <w:shd w:val="clear" w:color="auto" w:fill="FFFFFF"/>
        </w:rPr>
        <w:t xml:space="preserve">з критеріїв, зазначених у пункті </w:t>
      </w:r>
      <w:r w:rsidR="0063305B" w:rsidRPr="00A74A9F">
        <w:rPr>
          <w:iCs/>
          <w:shd w:val="clear" w:color="auto" w:fill="FFFFFF"/>
        </w:rPr>
        <w:t xml:space="preserve">9 </w:t>
      </w:r>
      <w:r w:rsidR="00F96DA1" w:rsidRPr="00A74A9F">
        <w:rPr>
          <w:iCs/>
          <w:shd w:val="clear" w:color="auto" w:fill="FFFFFF"/>
        </w:rPr>
        <w:t>розділу ІІ цього Положення</w:t>
      </w:r>
      <w:r w:rsidR="00F96DA1" w:rsidRPr="00A74A9F">
        <w:rPr>
          <w:iCs/>
        </w:rPr>
        <w:t xml:space="preserve">, оцінюється з </w:t>
      </w:r>
      <w:r w:rsidR="00472006" w:rsidRPr="00A74A9F">
        <w:rPr>
          <w:iCs/>
        </w:rPr>
        <w:t>використанням</w:t>
      </w:r>
      <w:r w:rsidR="00F96DA1" w:rsidRPr="00A74A9F">
        <w:rPr>
          <w:iCs/>
        </w:rPr>
        <w:t xml:space="preserve"> якісних та кількісних показників. Показники та їх </w:t>
      </w:r>
      <w:r w:rsidR="00472006" w:rsidRPr="00A74A9F">
        <w:rPr>
          <w:iCs/>
        </w:rPr>
        <w:t>вага</w:t>
      </w:r>
      <w:r w:rsidR="00F96DA1" w:rsidRPr="00A74A9F">
        <w:rPr>
          <w:iCs/>
        </w:rPr>
        <w:t xml:space="preserve"> в оцінюванні кожного з критеріїв наведені в додатках 1‒3 до цього Положення</w:t>
      </w:r>
      <w:r w:rsidR="00CF3AF5" w:rsidRPr="00A74A9F">
        <w:rPr>
          <w:iCs/>
          <w:shd w:val="clear" w:color="auto" w:fill="FFFFFF"/>
        </w:rPr>
        <w:t xml:space="preserve"> </w:t>
      </w:r>
      <w:r w:rsidR="00F96DA1" w:rsidRPr="00A74A9F">
        <w:rPr>
          <w:iCs/>
          <w:shd w:val="clear" w:color="auto" w:fill="FFFFFF"/>
        </w:rPr>
        <w:t>залежно від виду учасника ринку небанківських фінансових послуг та особливостей такого ринку.</w:t>
      </w:r>
    </w:p>
    <w:p w14:paraId="76BE031C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728A4CE5" w14:textId="5C50744B" w:rsidR="00F96DA1" w:rsidRPr="00A74A9F" w:rsidRDefault="00F96DA1" w:rsidP="00734469">
      <w:pPr>
        <w:ind w:firstLine="567"/>
        <w:rPr>
          <w:iCs/>
          <w:shd w:val="clear" w:color="auto" w:fill="FFFFFF"/>
        </w:rPr>
      </w:pPr>
      <w:bookmarkStart w:id="1" w:name="n100"/>
      <w:bookmarkStart w:id="2" w:name="n101"/>
      <w:bookmarkStart w:id="3" w:name="n102"/>
      <w:bookmarkStart w:id="4" w:name="n103"/>
      <w:bookmarkStart w:id="5" w:name="n104"/>
      <w:bookmarkEnd w:id="1"/>
      <w:bookmarkEnd w:id="2"/>
      <w:bookmarkEnd w:id="3"/>
      <w:bookmarkEnd w:id="4"/>
      <w:bookmarkEnd w:id="5"/>
      <w:r w:rsidRPr="00A74A9F">
        <w:rPr>
          <w:iCs/>
          <w:shd w:val="clear" w:color="auto" w:fill="FFFFFF"/>
        </w:rPr>
        <w:t>1</w:t>
      </w:r>
      <w:r w:rsidR="00F42162" w:rsidRPr="00A74A9F">
        <w:rPr>
          <w:iCs/>
          <w:shd w:val="clear" w:color="auto" w:fill="FFFFFF"/>
        </w:rPr>
        <w:t>1</w:t>
      </w:r>
      <w:r w:rsidRPr="00A74A9F">
        <w:rPr>
          <w:iCs/>
          <w:shd w:val="clear" w:color="auto" w:fill="FFFFFF"/>
        </w:rPr>
        <w:t xml:space="preserve">. Національний банк за результатами оцінювання ступеня ризику за кожним </w:t>
      </w:r>
      <w:r w:rsidR="00893C72">
        <w:rPr>
          <w:iCs/>
          <w:shd w:val="clear" w:color="auto" w:fill="FFFFFF"/>
        </w:rPr>
        <w:t>і</w:t>
      </w:r>
      <w:r w:rsidRPr="00A74A9F">
        <w:rPr>
          <w:iCs/>
          <w:shd w:val="clear" w:color="auto" w:fill="FFFFFF"/>
        </w:rPr>
        <w:t>з критеріїв присвоює</w:t>
      </w:r>
      <w:r w:rsidR="00200ED0" w:rsidRPr="00A74A9F">
        <w:rPr>
          <w:iCs/>
          <w:shd w:val="clear" w:color="auto" w:fill="FFFFFF"/>
        </w:rPr>
        <w:t xml:space="preserve"> учаснику ринку небанківських фінансових послуг</w:t>
      </w:r>
      <w:r w:rsidR="00472006" w:rsidRPr="00A74A9F">
        <w:rPr>
          <w:iCs/>
          <w:shd w:val="clear" w:color="auto" w:fill="FFFFFF"/>
        </w:rPr>
        <w:t xml:space="preserve"> </w:t>
      </w:r>
      <w:r w:rsidRPr="00A74A9F">
        <w:rPr>
          <w:iCs/>
          <w:shd w:val="clear" w:color="auto" w:fill="FFFFFF"/>
        </w:rPr>
        <w:t>бал від “1” до “4”.</w:t>
      </w:r>
    </w:p>
    <w:p w14:paraId="3EB4D39E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0DE617A9" w14:textId="3A35698A" w:rsidR="00F96DA1" w:rsidRPr="00A74A9F" w:rsidRDefault="00F96DA1" w:rsidP="00734469">
      <w:pPr>
        <w:ind w:firstLine="567"/>
        <w:rPr>
          <w:strike/>
        </w:rPr>
      </w:pPr>
      <w:r w:rsidRPr="00A74A9F">
        <w:rPr>
          <w:iCs/>
          <w:shd w:val="clear" w:color="auto" w:fill="FFFFFF"/>
        </w:rPr>
        <w:t>1</w:t>
      </w:r>
      <w:r w:rsidR="00F42162" w:rsidRPr="00A74A9F">
        <w:rPr>
          <w:iCs/>
          <w:shd w:val="clear" w:color="auto" w:fill="FFFFFF"/>
        </w:rPr>
        <w:t>2</w:t>
      </w:r>
      <w:r w:rsidRPr="00A74A9F">
        <w:rPr>
          <w:iCs/>
          <w:shd w:val="clear" w:color="auto" w:fill="FFFFFF"/>
        </w:rPr>
        <w:t xml:space="preserve">. </w:t>
      </w:r>
      <w:r w:rsidRPr="00A74A9F">
        <w:t xml:space="preserve">Учаснику ринку небанківських фінансових послуг, </w:t>
      </w:r>
      <w:r w:rsidRPr="00A74A9F">
        <w:rPr>
          <w:bCs/>
        </w:rPr>
        <w:t xml:space="preserve">який не подав до Національного банку </w:t>
      </w:r>
      <w:r w:rsidR="002D0D7E" w:rsidRPr="00A74A9F">
        <w:rPr>
          <w:bCs/>
        </w:rPr>
        <w:t xml:space="preserve">хоча б </w:t>
      </w:r>
      <w:r w:rsidR="00582150">
        <w:rPr>
          <w:bCs/>
        </w:rPr>
        <w:t>одного</w:t>
      </w:r>
      <w:r w:rsidR="00582150" w:rsidRPr="00A74A9F">
        <w:rPr>
          <w:bCs/>
        </w:rPr>
        <w:t xml:space="preserve"> </w:t>
      </w:r>
      <w:r w:rsidR="002D0D7E" w:rsidRPr="00A74A9F">
        <w:rPr>
          <w:bCs/>
        </w:rPr>
        <w:t xml:space="preserve">з файлів </w:t>
      </w:r>
      <w:r w:rsidR="00833DFC">
        <w:rPr>
          <w:bCs/>
        </w:rPr>
        <w:t>і</w:t>
      </w:r>
      <w:r w:rsidR="002D0D7E" w:rsidRPr="00A74A9F">
        <w:rPr>
          <w:bCs/>
        </w:rPr>
        <w:t>з показниками звітності</w:t>
      </w:r>
      <w:r w:rsidRPr="00A74A9F">
        <w:rPr>
          <w:bCs/>
        </w:rPr>
        <w:t>, аудиторськ</w:t>
      </w:r>
      <w:r w:rsidR="00582150">
        <w:rPr>
          <w:bCs/>
        </w:rPr>
        <w:t>ого</w:t>
      </w:r>
      <w:r w:rsidRPr="00A74A9F">
        <w:rPr>
          <w:bCs/>
        </w:rPr>
        <w:t xml:space="preserve"> звіт</w:t>
      </w:r>
      <w:r w:rsidR="00582150">
        <w:rPr>
          <w:bCs/>
        </w:rPr>
        <w:t>у</w:t>
      </w:r>
      <w:r w:rsidRPr="00A74A9F">
        <w:rPr>
          <w:bCs/>
        </w:rPr>
        <w:t xml:space="preserve"> щодо проведення обов’язкового аудиту фінансової звітності та консолідованої фінансової звітності та/або звіт</w:t>
      </w:r>
      <w:r w:rsidR="00582150">
        <w:rPr>
          <w:bCs/>
        </w:rPr>
        <w:t>у</w:t>
      </w:r>
      <w:r w:rsidRPr="00A74A9F">
        <w:rPr>
          <w:bCs/>
        </w:rPr>
        <w:t xml:space="preserve"> про надання впевненості щодо річних звітних даних, </w:t>
      </w:r>
      <w:r w:rsidR="00472006" w:rsidRPr="00A74A9F">
        <w:rPr>
          <w:bCs/>
        </w:rPr>
        <w:t xml:space="preserve">у повному обсязі </w:t>
      </w:r>
      <w:r w:rsidRPr="00A74A9F">
        <w:rPr>
          <w:bCs/>
        </w:rPr>
        <w:t xml:space="preserve">за будь-який звітний період, що входить до періоду оцінювання (з 01 жовтня до 30 вересня), присвоюється ступінь ризику “4” </w:t>
      </w:r>
      <w:r w:rsidR="00C74308" w:rsidRPr="00A74A9F">
        <w:rPr>
          <w:bCs/>
        </w:rPr>
        <w:t xml:space="preserve">(з урахуванням критеріїв, наведених в додатках </w:t>
      </w:r>
      <w:r w:rsidR="00C14F64" w:rsidRPr="00A74A9F">
        <w:rPr>
          <w:bCs/>
        </w:rPr>
        <w:t>1</w:t>
      </w:r>
      <w:r w:rsidR="004868C0">
        <w:rPr>
          <w:bCs/>
        </w:rPr>
        <w:t>–</w:t>
      </w:r>
      <w:r w:rsidR="00C74308" w:rsidRPr="00A74A9F">
        <w:rPr>
          <w:bCs/>
        </w:rPr>
        <w:t>3 до цього Положення).</w:t>
      </w:r>
    </w:p>
    <w:p w14:paraId="4F266AB6" w14:textId="26E0C556" w:rsidR="00F96DA1" w:rsidRPr="00A74A9F" w:rsidRDefault="00395184" w:rsidP="00734469">
      <w:pPr>
        <w:ind w:firstLine="567"/>
      </w:pPr>
      <w:r w:rsidRPr="00A74A9F">
        <w:t>Показнику</w:t>
      </w:r>
      <w:r w:rsidR="00F96DA1" w:rsidRPr="00A74A9F">
        <w:t xml:space="preserve"> присвоюється оціночний бал “4”, якщо </w:t>
      </w:r>
      <w:r w:rsidR="004E0157" w:rsidRPr="00A74A9F">
        <w:t>подані</w:t>
      </w:r>
      <w:r w:rsidR="00472006" w:rsidRPr="00A74A9F">
        <w:t xml:space="preserve"> </w:t>
      </w:r>
      <w:r w:rsidR="00A6572F" w:rsidRPr="00A74A9F">
        <w:t xml:space="preserve">до Національного </w:t>
      </w:r>
      <w:r w:rsidR="002D0D7E" w:rsidRPr="00A74A9F">
        <w:t>банку</w:t>
      </w:r>
      <w:r w:rsidR="00F96DA1" w:rsidRPr="00A74A9F">
        <w:t xml:space="preserve"> учасником </w:t>
      </w:r>
      <w:r w:rsidR="002D0D7E" w:rsidRPr="00A74A9F">
        <w:t>ринку небанківських фінансових послуг файли з показниками звітності</w:t>
      </w:r>
      <w:r w:rsidR="00F96DA1" w:rsidRPr="00A74A9F">
        <w:t xml:space="preserve"> та/або інші документи, передбачені д</w:t>
      </w:r>
      <w:r w:rsidR="00833DFC">
        <w:t>ля</w:t>
      </w:r>
      <w:r w:rsidR="00F96DA1" w:rsidRPr="00A74A9F">
        <w:t xml:space="preserve"> </w:t>
      </w:r>
      <w:r w:rsidR="00713F0E">
        <w:t xml:space="preserve">періодичного </w:t>
      </w:r>
      <w:r w:rsidR="00F96DA1" w:rsidRPr="00A74A9F">
        <w:t>подання</w:t>
      </w:r>
      <w:r w:rsidR="0094321C" w:rsidRPr="00A74A9F">
        <w:t xml:space="preserve"> </w:t>
      </w:r>
      <w:r w:rsidR="002D0D7E" w:rsidRPr="00A74A9F">
        <w:t>(за виключенням інформації та документів</w:t>
      </w:r>
      <w:r w:rsidR="00841D55" w:rsidRPr="00A74A9F">
        <w:t>, що повинні бути подані</w:t>
      </w:r>
      <w:r w:rsidR="002D0D7E" w:rsidRPr="00A74A9F">
        <w:t xml:space="preserve"> у відповідь на письмову вимогу Національного банку)</w:t>
      </w:r>
      <w:r w:rsidR="00E27C75" w:rsidRPr="00A74A9F">
        <w:t xml:space="preserve"> (далі </w:t>
      </w:r>
      <w:r w:rsidR="00833DFC">
        <w:t>–</w:t>
      </w:r>
      <w:r w:rsidR="00E27C75" w:rsidRPr="00A74A9F">
        <w:t xml:space="preserve"> документи, передбачені д</w:t>
      </w:r>
      <w:r w:rsidR="00833DFC">
        <w:t>ля</w:t>
      </w:r>
      <w:r w:rsidR="00E27C75" w:rsidRPr="00A74A9F">
        <w:t xml:space="preserve"> </w:t>
      </w:r>
      <w:r w:rsidR="006B405E">
        <w:t xml:space="preserve">періодичного </w:t>
      </w:r>
      <w:r w:rsidR="00E27C75" w:rsidRPr="00A74A9F">
        <w:t>подання)</w:t>
      </w:r>
      <w:r w:rsidR="00F96DA1" w:rsidRPr="00A74A9F">
        <w:t>, не дають можливості Національному банку оцінити ступінь ризику за відповідним критерієм.</w:t>
      </w:r>
    </w:p>
    <w:p w14:paraId="0FD8AA6D" w14:textId="2354A3D2" w:rsidR="00F96DA1" w:rsidRPr="00A74A9F" w:rsidRDefault="00F96DA1" w:rsidP="00734469">
      <w:pPr>
        <w:ind w:firstLine="567"/>
      </w:pPr>
      <w:r w:rsidRPr="00A74A9F">
        <w:t>О</w:t>
      </w:r>
      <w:r w:rsidRPr="00A74A9F">
        <w:rPr>
          <w:bCs/>
          <w:shd w:val="clear" w:color="auto" w:fill="FFFFFF"/>
        </w:rPr>
        <w:t>цінювання</w:t>
      </w:r>
      <w:r w:rsidRPr="00A74A9F" w:rsidDel="00706DFB">
        <w:t xml:space="preserve"> </w:t>
      </w:r>
      <w:r w:rsidRPr="00A74A9F">
        <w:t xml:space="preserve">ступеня ризику проводиться </w:t>
      </w:r>
      <w:r w:rsidR="00472006" w:rsidRPr="00A74A9F">
        <w:t>учасникам</w:t>
      </w:r>
      <w:r w:rsidRPr="00A74A9F">
        <w:t xml:space="preserve"> ринку небанківських фінансових послуг, які станом на дату проведення такого оцінювання мають </w:t>
      </w:r>
      <w:r w:rsidR="000E16E5">
        <w:t>чинну</w:t>
      </w:r>
      <w:r w:rsidR="00B05273">
        <w:t xml:space="preserve"> </w:t>
      </w:r>
      <w:r w:rsidR="00472006" w:rsidRPr="00A74A9F">
        <w:t xml:space="preserve">ліцензію </w:t>
      </w:r>
      <w:r w:rsidRPr="00A74A9F">
        <w:t>на провадження діяльності з надання фіна</w:t>
      </w:r>
      <w:r w:rsidR="00DB5D9D" w:rsidRPr="00A74A9F">
        <w:t xml:space="preserve">нсових послуг </w:t>
      </w:r>
      <w:r w:rsidR="00472006" w:rsidRPr="00A74A9F">
        <w:t>відповідного виду</w:t>
      </w:r>
      <w:r w:rsidR="00DB5D9D" w:rsidRPr="00A74A9F">
        <w:t>.</w:t>
      </w:r>
    </w:p>
    <w:p w14:paraId="1E8875DE" w14:textId="77777777" w:rsidR="00F42162" w:rsidRPr="00A74A9F" w:rsidRDefault="00F42162" w:rsidP="00734469">
      <w:pPr>
        <w:ind w:firstLine="567"/>
      </w:pPr>
    </w:p>
    <w:p w14:paraId="025D54E3" w14:textId="212E1C5E" w:rsidR="00F96DA1" w:rsidRPr="00A74A9F" w:rsidRDefault="00F96DA1" w:rsidP="00734469">
      <w:pPr>
        <w:ind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1</w:t>
      </w:r>
      <w:r w:rsidR="00F42162" w:rsidRPr="00A74A9F">
        <w:rPr>
          <w:iCs/>
          <w:shd w:val="clear" w:color="auto" w:fill="FFFFFF"/>
        </w:rPr>
        <w:t>3</w:t>
      </w:r>
      <w:r w:rsidRPr="00A74A9F">
        <w:rPr>
          <w:iCs/>
          <w:shd w:val="clear" w:color="auto" w:fill="FFFFFF"/>
        </w:rPr>
        <w:t xml:space="preserve">. Національний банк під час оцінювання ступеня ризику за критерієм, зазначеним у підпункті 1 пункту </w:t>
      </w:r>
      <w:r w:rsidR="000C571C" w:rsidRPr="00A74A9F">
        <w:rPr>
          <w:iCs/>
          <w:shd w:val="clear" w:color="auto" w:fill="FFFFFF"/>
        </w:rPr>
        <w:t>9</w:t>
      </w:r>
      <w:r w:rsidRPr="00A74A9F">
        <w:rPr>
          <w:iCs/>
          <w:shd w:val="clear" w:color="auto" w:fill="FFFFFF"/>
        </w:rPr>
        <w:t xml:space="preserve"> розділу ІІ цього Положення, присвоює учаснику ринку небанківських фінансових послуг один </w:t>
      </w:r>
      <w:r w:rsidR="00BD6AB2">
        <w:rPr>
          <w:iCs/>
          <w:shd w:val="clear" w:color="auto" w:fill="FFFFFF"/>
        </w:rPr>
        <w:t>і</w:t>
      </w:r>
      <w:r w:rsidRPr="00A74A9F">
        <w:rPr>
          <w:iCs/>
          <w:shd w:val="clear" w:color="auto" w:fill="FFFFFF"/>
        </w:rPr>
        <w:t>з таких балів, якщо:</w:t>
      </w:r>
    </w:p>
    <w:p w14:paraId="518E344C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57792B6A" w14:textId="34AF765B" w:rsidR="00F96DA1" w:rsidRPr="00A74A9F" w:rsidRDefault="00F96DA1" w:rsidP="00734469">
      <w:pPr>
        <w:pStyle w:val="af3"/>
        <w:numPr>
          <w:ilvl w:val="0"/>
          <w:numId w:val="4"/>
        </w:numPr>
        <w:ind w:left="0"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 xml:space="preserve">“1” ‒ управління ризиками та </w:t>
      </w:r>
      <w:r w:rsidR="00B32608" w:rsidRPr="00A74A9F">
        <w:rPr>
          <w:iCs/>
          <w:shd w:val="clear" w:color="auto" w:fill="FFFFFF"/>
        </w:rPr>
        <w:t>внутрішн</w:t>
      </w:r>
      <w:r w:rsidR="00D878D4">
        <w:rPr>
          <w:iCs/>
          <w:shd w:val="clear" w:color="auto" w:fill="FFFFFF"/>
        </w:rPr>
        <w:t>ій</w:t>
      </w:r>
      <w:r w:rsidR="00B32608" w:rsidRPr="00A74A9F">
        <w:rPr>
          <w:iCs/>
          <w:shd w:val="clear" w:color="auto" w:fill="FFFFFF"/>
        </w:rPr>
        <w:t xml:space="preserve"> контрол</w:t>
      </w:r>
      <w:r w:rsidR="00D878D4">
        <w:rPr>
          <w:iCs/>
          <w:shd w:val="clear" w:color="auto" w:fill="FFFFFF"/>
        </w:rPr>
        <w:t>ь</w:t>
      </w:r>
      <w:r w:rsidR="00B32608" w:rsidRPr="00A74A9F">
        <w:rPr>
          <w:iCs/>
          <w:shd w:val="clear" w:color="auto" w:fill="FFFFFF"/>
        </w:rPr>
        <w:t xml:space="preserve"> </w:t>
      </w:r>
      <w:r w:rsidRPr="00A74A9F">
        <w:rPr>
          <w:iCs/>
          <w:shd w:val="clear" w:color="auto" w:fill="FFFFFF"/>
        </w:rPr>
        <w:t>створюють низький ступінь ризику;</w:t>
      </w:r>
    </w:p>
    <w:p w14:paraId="5E837040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737632EB" w14:textId="60428E48" w:rsidR="00F96DA1" w:rsidRPr="00A74A9F" w:rsidRDefault="00F96DA1" w:rsidP="00734469">
      <w:pPr>
        <w:pStyle w:val="af3"/>
        <w:numPr>
          <w:ilvl w:val="0"/>
          <w:numId w:val="4"/>
        </w:numPr>
        <w:ind w:left="0"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“2” ‒ недоліки управління ризиками та внутрішнього контролю створюють середній ступінь ризику;</w:t>
      </w:r>
    </w:p>
    <w:p w14:paraId="188C6240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5CA1F4E9" w14:textId="13E83EE1" w:rsidR="00F96DA1" w:rsidRPr="00A74A9F" w:rsidRDefault="00F96DA1" w:rsidP="00734469">
      <w:pPr>
        <w:pStyle w:val="af3"/>
        <w:numPr>
          <w:ilvl w:val="0"/>
          <w:numId w:val="4"/>
        </w:numPr>
        <w:ind w:left="0"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“3” ‒ недоліки управління ризиками та внутрішнього контролю створюють високий ступінь ризику;</w:t>
      </w:r>
    </w:p>
    <w:p w14:paraId="4C3D694F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6ABD941B" w14:textId="624C8A93" w:rsidR="007233BD" w:rsidRPr="00A74A9F" w:rsidRDefault="00F96DA1" w:rsidP="00734469">
      <w:pPr>
        <w:pStyle w:val="af3"/>
        <w:numPr>
          <w:ilvl w:val="0"/>
          <w:numId w:val="4"/>
        </w:numPr>
        <w:ind w:left="0" w:firstLine="567"/>
        <w:contextualSpacing w:val="0"/>
        <w:rPr>
          <w:iCs/>
          <w:shd w:val="clear" w:color="auto" w:fill="FFFFFF"/>
          <w:lang w:val="ru-RU"/>
        </w:rPr>
      </w:pPr>
      <w:r w:rsidRPr="00A74A9F">
        <w:rPr>
          <w:iCs/>
          <w:shd w:val="clear" w:color="auto" w:fill="FFFFFF"/>
        </w:rPr>
        <w:t>“4” ‒ недоліки управління ризиками та внутрішнього контролю створюють критичний ступінь ризи</w:t>
      </w:r>
      <w:r w:rsidR="000D59EF" w:rsidRPr="00A74A9F">
        <w:rPr>
          <w:iCs/>
          <w:shd w:val="clear" w:color="auto" w:fill="FFFFFF"/>
        </w:rPr>
        <w:t>ку</w:t>
      </w:r>
      <w:r w:rsidR="00BC7E3A" w:rsidRPr="00A74A9F">
        <w:rPr>
          <w:iCs/>
          <w:shd w:val="clear" w:color="auto" w:fill="FFFFFF"/>
        </w:rPr>
        <w:t>.</w:t>
      </w:r>
      <w:r w:rsidR="000D59EF" w:rsidRPr="00A74A9F">
        <w:rPr>
          <w:iCs/>
          <w:shd w:val="clear" w:color="auto" w:fill="FFFFFF"/>
        </w:rPr>
        <w:t xml:space="preserve"> </w:t>
      </w:r>
    </w:p>
    <w:p w14:paraId="7AA7D92A" w14:textId="6E3BCEFC" w:rsidR="00F42162" w:rsidRPr="00A74A9F" w:rsidRDefault="00F42162" w:rsidP="00734469">
      <w:pPr>
        <w:ind w:firstLine="567"/>
        <w:rPr>
          <w:iCs/>
          <w:shd w:val="clear" w:color="auto" w:fill="FFFFFF"/>
          <w:lang w:val="ru-RU"/>
        </w:rPr>
      </w:pPr>
    </w:p>
    <w:p w14:paraId="6D673977" w14:textId="1BB5C17F" w:rsidR="007233BD" w:rsidRPr="00A74A9F" w:rsidRDefault="00F42162" w:rsidP="00734469">
      <w:pPr>
        <w:ind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 xml:space="preserve">14. </w:t>
      </w:r>
      <w:r w:rsidR="00BC7E3A" w:rsidRPr="00A74A9F">
        <w:rPr>
          <w:iCs/>
          <w:shd w:val="clear" w:color="auto" w:fill="FFFFFF"/>
        </w:rPr>
        <w:t>У</w:t>
      </w:r>
      <w:r w:rsidR="0094321C" w:rsidRPr="00A74A9F">
        <w:rPr>
          <w:iCs/>
          <w:shd w:val="clear" w:color="auto" w:fill="FFFFFF"/>
        </w:rPr>
        <w:t xml:space="preserve">часнику ринку небанківських фінансових послуг присвоюється ступінь ризику “4” </w:t>
      </w:r>
      <w:r w:rsidR="00BD6AB2">
        <w:rPr>
          <w:iCs/>
          <w:shd w:val="clear" w:color="auto" w:fill="FFFFFF"/>
        </w:rPr>
        <w:t>за</w:t>
      </w:r>
      <w:r w:rsidR="0094321C" w:rsidRPr="00A74A9F">
        <w:rPr>
          <w:iCs/>
          <w:shd w:val="clear" w:color="auto" w:fill="FFFFFF"/>
        </w:rPr>
        <w:t xml:space="preserve"> критері</w:t>
      </w:r>
      <w:r w:rsidR="00BD6AB2">
        <w:rPr>
          <w:iCs/>
          <w:shd w:val="clear" w:color="auto" w:fill="FFFFFF"/>
        </w:rPr>
        <w:t>єм</w:t>
      </w:r>
      <w:r w:rsidR="0094321C" w:rsidRPr="00A74A9F">
        <w:rPr>
          <w:iCs/>
          <w:shd w:val="clear" w:color="auto" w:fill="FFFFFF"/>
        </w:rPr>
        <w:t xml:space="preserve"> </w:t>
      </w:r>
      <w:r w:rsidR="009B1D86" w:rsidRPr="00A74A9F">
        <w:rPr>
          <w:iCs/>
          <w:shd w:val="clear" w:color="auto" w:fill="FFFFFF"/>
        </w:rPr>
        <w:t>“</w:t>
      </w:r>
      <w:r w:rsidR="000C53F2" w:rsidRPr="00A74A9F">
        <w:rPr>
          <w:iCs/>
          <w:shd w:val="clear" w:color="auto" w:fill="FFFFFF"/>
        </w:rPr>
        <w:t>С</w:t>
      </w:r>
      <w:r w:rsidR="0094321C" w:rsidRPr="00A74A9F">
        <w:rPr>
          <w:iCs/>
          <w:shd w:val="clear" w:color="auto" w:fill="FFFFFF"/>
        </w:rPr>
        <w:t>тан управління ризиками та внутрішнього контролю</w:t>
      </w:r>
      <w:r w:rsidR="009B1D86" w:rsidRPr="00A74A9F">
        <w:rPr>
          <w:iCs/>
          <w:shd w:val="clear" w:color="auto" w:fill="FFFFFF"/>
        </w:rPr>
        <w:t>”</w:t>
      </w:r>
      <w:r w:rsidR="005F10A8" w:rsidRPr="00A74A9F">
        <w:rPr>
          <w:iCs/>
          <w:shd w:val="clear" w:color="auto" w:fill="FFFFFF"/>
        </w:rPr>
        <w:t>,</w:t>
      </w:r>
      <w:r w:rsidR="00B32608" w:rsidRPr="00A74A9F">
        <w:rPr>
          <w:iCs/>
          <w:shd w:val="clear" w:color="auto" w:fill="FFFFFF"/>
        </w:rPr>
        <w:t xml:space="preserve"> якщо</w:t>
      </w:r>
      <w:r w:rsidR="001801F5">
        <w:rPr>
          <w:iCs/>
          <w:shd w:val="clear" w:color="auto" w:fill="FFFFFF"/>
        </w:rPr>
        <w:t xml:space="preserve"> такий</w:t>
      </w:r>
      <w:r w:rsidR="00B32608" w:rsidRPr="00A74A9F">
        <w:rPr>
          <w:iCs/>
          <w:shd w:val="clear" w:color="auto" w:fill="FFFFFF"/>
        </w:rPr>
        <w:t xml:space="preserve"> учасник</w:t>
      </w:r>
      <w:r w:rsidR="00D645AB" w:rsidRPr="00A74A9F">
        <w:rPr>
          <w:iCs/>
          <w:shd w:val="clear" w:color="auto" w:fill="FFFFFF"/>
        </w:rPr>
        <w:t>:</w:t>
      </w:r>
      <w:r w:rsidR="0094321C" w:rsidRPr="00A74A9F">
        <w:rPr>
          <w:iCs/>
          <w:shd w:val="clear" w:color="auto" w:fill="FFFFFF"/>
        </w:rPr>
        <w:t xml:space="preserve"> </w:t>
      </w:r>
    </w:p>
    <w:p w14:paraId="2E5D2EAF" w14:textId="77777777" w:rsidR="00734469" w:rsidRPr="00A74A9F" w:rsidRDefault="00734469" w:rsidP="00734469">
      <w:pPr>
        <w:ind w:firstLine="567"/>
        <w:rPr>
          <w:iCs/>
          <w:shd w:val="clear" w:color="auto" w:fill="FFFFFF"/>
          <w:lang w:val="ru-RU"/>
        </w:rPr>
      </w:pPr>
    </w:p>
    <w:p w14:paraId="1AD6A5DA" w14:textId="47F86419" w:rsidR="00237BAC" w:rsidRPr="00A74A9F" w:rsidRDefault="00067168" w:rsidP="00734469">
      <w:pPr>
        <w:pStyle w:val="af3"/>
        <w:numPr>
          <w:ilvl w:val="0"/>
          <w:numId w:val="31"/>
        </w:numPr>
        <w:ind w:left="0" w:firstLine="567"/>
        <w:rPr>
          <w:iCs/>
          <w:shd w:val="clear" w:color="auto" w:fill="FFFFFF"/>
          <w:lang w:val="ru-RU"/>
        </w:rPr>
      </w:pPr>
      <w:r w:rsidRPr="00A74A9F">
        <w:rPr>
          <w:iCs/>
          <w:shd w:val="clear" w:color="auto" w:fill="FFFFFF"/>
        </w:rPr>
        <w:t>за результатами оцінки р</w:t>
      </w:r>
      <w:r w:rsidR="00412D06" w:rsidRPr="00A74A9F">
        <w:rPr>
          <w:iCs/>
          <w:shd w:val="clear" w:color="auto" w:fill="FFFFFF"/>
        </w:rPr>
        <w:t xml:space="preserve">изику порушення прав споживачів </w:t>
      </w:r>
      <w:r w:rsidRPr="00A74A9F">
        <w:rPr>
          <w:iCs/>
          <w:shd w:val="clear" w:color="auto" w:fill="FFFFFF"/>
        </w:rPr>
        <w:t xml:space="preserve">фінансових послуг, що здійснюється у порядку, </w:t>
      </w:r>
      <w:r w:rsidR="00237BAC" w:rsidRPr="00A74A9F">
        <w:rPr>
          <w:iCs/>
          <w:shd w:val="clear" w:color="auto" w:fill="FFFFFF"/>
        </w:rPr>
        <w:t>установленому Національним банком</w:t>
      </w:r>
      <w:r w:rsidRPr="00A74A9F">
        <w:rPr>
          <w:iCs/>
          <w:shd w:val="clear" w:color="auto" w:fill="FFFFFF"/>
        </w:rPr>
        <w:t>, має рівень ризику “дуже високий”</w:t>
      </w:r>
      <w:r w:rsidR="0031696B" w:rsidRPr="00A74A9F">
        <w:rPr>
          <w:iCs/>
          <w:shd w:val="clear" w:color="auto" w:fill="FFFFFF"/>
        </w:rPr>
        <w:t>;</w:t>
      </w:r>
    </w:p>
    <w:p w14:paraId="262D867F" w14:textId="77777777" w:rsidR="00237BAC" w:rsidRPr="00A74A9F" w:rsidRDefault="00237BAC" w:rsidP="00734469">
      <w:pPr>
        <w:pStyle w:val="af3"/>
        <w:ind w:left="0" w:firstLine="567"/>
        <w:rPr>
          <w:iCs/>
          <w:shd w:val="clear" w:color="auto" w:fill="FFFFFF"/>
        </w:rPr>
      </w:pPr>
    </w:p>
    <w:p w14:paraId="2ABC22FA" w14:textId="1E6E1B86" w:rsidR="0031696B" w:rsidRPr="00A74A9F" w:rsidRDefault="0031696B" w:rsidP="00734469">
      <w:pPr>
        <w:pStyle w:val="af3"/>
        <w:numPr>
          <w:ilvl w:val="0"/>
          <w:numId w:val="31"/>
        </w:numPr>
        <w:ind w:left="0"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 xml:space="preserve">має </w:t>
      </w:r>
      <w:r w:rsidR="00A777D9" w:rsidRPr="00A74A9F">
        <w:rPr>
          <w:iCs/>
          <w:shd w:val="clear" w:color="auto" w:fill="FFFFFF"/>
        </w:rPr>
        <w:t xml:space="preserve">афілійованих, </w:t>
      </w:r>
      <w:r w:rsidR="00472006" w:rsidRPr="00A74A9F">
        <w:rPr>
          <w:iCs/>
          <w:shd w:val="clear" w:color="auto" w:fill="FFFFFF"/>
        </w:rPr>
        <w:t>споріднених осіб</w:t>
      </w:r>
      <w:r w:rsidRPr="00A74A9F">
        <w:rPr>
          <w:iCs/>
          <w:shd w:val="clear" w:color="auto" w:fill="FFFFFF"/>
        </w:rPr>
        <w:t xml:space="preserve">, які зареєстровані та/або є податковими резидентами, та/або їх місцезнаходженням є </w:t>
      </w:r>
      <w:r w:rsidR="00431B96" w:rsidRPr="00A74A9F">
        <w:rPr>
          <w:iCs/>
          <w:shd w:val="clear" w:color="auto" w:fill="FFFFFF"/>
        </w:rPr>
        <w:t>Р</w:t>
      </w:r>
      <w:r w:rsidRPr="00A74A9F">
        <w:rPr>
          <w:iCs/>
          <w:shd w:val="clear" w:color="auto" w:fill="FFFFFF"/>
        </w:rPr>
        <w:t xml:space="preserve">осійська </w:t>
      </w:r>
      <w:r w:rsidR="00431B96" w:rsidRPr="00A74A9F">
        <w:rPr>
          <w:iCs/>
          <w:shd w:val="clear" w:color="auto" w:fill="FFFFFF"/>
        </w:rPr>
        <w:t>Ф</w:t>
      </w:r>
      <w:r w:rsidRPr="00A74A9F">
        <w:rPr>
          <w:iCs/>
          <w:shd w:val="clear" w:color="auto" w:fill="FFFFFF"/>
        </w:rPr>
        <w:t xml:space="preserve">едерація або </w:t>
      </w:r>
      <w:r w:rsidR="00431B96" w:rsidRPr="00A74A9F">
        <w:rPr>
          <w:iCs/>
          <w:shd w:val="clear" w:color="auto" w:fill="FFFFFF"/>
        </w:rPr>
        <w:t>Р</w:t>
      </w:r>
      <w:r w:rsidRPr="00A74A9F">
        <w:rPr>
          <w:iCs/>
          <w:shd w:val="clear" w:color="auto" w:fill="FFFFFF"/>
        </w:rPr>
        <w:t xml:space="preserve">еспубліка </w:t>
      </w:r>
      <w:r w:rsidR="00431B96" w:rsidRPr="00A74A9F">
        <w:rPr>
          <w:iCs/>
          <w:shd w:val="clear" w:color="auto" w:fill="FFFFFF"/>
        </w:rPr>
        <w:t>Б</w:t>
      </w:r>
      <w:r w:rsidR="00472006" w:rsidRPr="00A74A9F">
        <w:rPr>
          <w:iCs/>
          <w:shd w:val="clear" w:color="auto" w:fill="FFFFFF"/>
        </w:rPr>
        <w:t>ілорусь</w:t>
      </w:r>
      <w:r w:rsidR="00D76989">
        <w:rPr>
          <w:iCs/>
          <w:shd w:val="clear" w:color="auto" w:fill="FFFFFF"/>
        </w:rPr>
        <w:t>,</w:t>
      </w:r>
      <w:r w:rsidR="00472006" w:rsidRPr="00A74A9F">
        <w:rPr>
          <w:iCs/>
          <w:shd w:val="clear" w:color="auto" w:fill="FFFFFF"/>
        </w:rPr>
        <w:t xml:space="preserve"> та/або </w:t>
      </w:r>
      <w:r w:rsidR="001801F5">
        <w:rPr>
          <w:iCs/>
          <w:shd w:val="clear" w:color="auto" w:fill="FFFFFF"/>
        </w:rPr>
        <w:t>в</w:t>
      </w:r>
      <w:r w:rsidR="00472006" w:rsidRPr="00A74A9F">
        <w:rPr>
          <w:iCs/>
          <w:shd w:val="clear" w:color="auto" w:fill="FFFFFF"/>
        </w:rPr>
        <w:t xml:space="preserve"> разі визнання</w:t>
      </w:r>
      <w:r w:rsidR="008D3A1B" w:rsidRPr="00A74A9F">
        <w:rPr>
          <w:iCs/>
          <w:shd w:val="clear" w:color="auto" w:fill="FFFFFF"/>
        </w:rPr>
        <w:t xml:space="preserve"> Національним банком</w:t>
      </w:r>
      <w:r w:rsidR="00472006" w:rsidRPr="00A74A9F">
        <w:rPr>
          <w:iCs/>
          <w:shd w:val="clear" w:color="auto" w:fill="FFFFFF"/>
        </w:rPr>
        <w:t xml:space="preserve"> </w:t>
      </w:r>
      <w:r w:rsidRPr="00A74A9F">
        <w:rPr>
          <w:iCs/>
          <w:shd w:val="clear" w:color="auto" w:fill="FFFFFF"/>
        </w:rPr>
        <w:t>непрозорою структури власності учасника ринку небанківських фінансових послуг</w:t>
      </w:r>
      <w:r w:rsidR="002640C9" w:rsidRPr="00A74A9F">
        <w:rPr>
          <w:iCs/>
          <w:shd w:val="clear" w:color="auto" w:fill="FFFFFF"/>
        </w:rPr>
        <w:t>.</w:t>
      </w:r>
    </w:p>
    <w:p w14:paraId="49E9C0FE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279D9FC6" w14:textId="57D4B7FA" w:rsidR="00F96DA1" w:rsidRPr="00A74A9F" w:rsidRDefault="00F96DA1" w:rsidP="00734469">
      <w:pPr>
        <w:ind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1</w:t>
      </w:r>
      <w:r w:rsidR="00F42162" w:rsidRPr="00A74A9F">
        <w:rPr>
          <w:iCs/>
          <w:shd w:val="clear" w:color="auto" w:fill="FFFFFF"/>
        </w:rPr>
        <w:t>5</w:t>
      </w:r>
      <w:r w:rsidRPr="00A74A9F">
        <w:rPr>
          <w:iCs/>
          <w:shd w:val="clear" w:color="auto" w:fill="FFFFFF"/>
        </w:rPr>
        <w:t xml:space="preserve">. Національний банк під час оцінювання ступеня ризику за критерієм, зазначеним у підпункті 2 пункту </w:t>
      </w:r>
      <w:r w:rsidR="00DF130C" w:rsidRPr="00A74A9F">
        <w:rPr>
          <w:iCs/>
          <w:shd w:val="clear" w:color="auto" w:fill="FFFFFF"/>
        </w:rPr>
        <w:t xml:space="preserve">9 </w:t>
      </w:r>
      <w:r w:rsidRPr="00A74A9F">
        <w:rPr>
          <w:iCs/>
          <w:shd w:val="clear" w:color="auto" w:fill="FFFFFF"/>
        </w:rPr>
        <w:t xml:space="preserve">розділу ІІ цього Положення, присвоює учаснику ринку небанківських фінансових послуг один </w:t>
      </w:r>
      <w:r w:rsidR="0031557F">
        <w:rPr>
          <w:iCs/>
          <w:shd w:val="clear" w:color="auto" w:fill="FFFFFF"/>
        </w:rPr>
        <w:t>і</w:t>
      </w:r>
      <w:r w:rsidRPr="00A74A9F">
        <w:rPr>
          <w:iCs/>
          <w:shd w:val="clear" w:color="auto" w:fill="FFFFFF"/>
        </w:rPr>
        <w:t>з таких балів, якщо:</w:t>
      </w:r>
    </w:p>
    <w:p w14:paraId="65073E0D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61E471BB" w14:textId="77777777" w:rsidR="00F96DA1" w:rsidRPr="00A74A9F" w:rsidRDefault="00F96DA1" w:rsidP="00734469">
      <w:pPr>
        <w:pStyle w:val="af3"/>
        <w:numPr>
          <w:ilvl w:val="0"/>
          <w:numId w:val="5"/>
        </w:numPr>
        <w:ind w:left="0"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“1” ‒ показники діяльності створюють низький ступінь ризику;</w:t>
      </w:r>
    </w:p>
    <w:p w14:paraId="13EBFA30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5EE9C273" w14:textId="77777777" w:rsidR="00F96DA1" w:rsidRPr="00A74A9F" w:rsidRDefault="00F96DA1" w:rsidP="00734469">
      <w:pPr>
        <w:pStyle w:val="af3"/>
        <w:numPr>
          <w:ilvl w:val="0"/>
          <w:numId w:val="5"/>
        </w:numPr>
        <w:ind w:left="0"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“2” ‒ показники діяльності створюють середній ступінь ризику;</w:t>
      </w:r>
    </w:p>
    <w:p w14:paraId="48D5ACC3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48519FC3" w14:textId="77777777" w:rsidR="00F96DA1" w:rsidRPr="00A74A9F" w:rsidRDefault="00F96DA1" w:rsidP="00734469">
      <w:pPr>
        <w:pStyle w:val="af3"/>
        <w:numPr>
          <w:ilvl w:val="0"/>
          <w:numId w:val="5"/>
        </w:numPr>
        <w:ind w:left="0"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“3” ‒ показники діяльності створюють високий ступінь ризику;</w:t>
      </w:r>
    </w:p>
    <w:p w14:paraId="7E6ADD65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64BC588F" w14:textId="77777777" w:rsidR="00F96DA1" w:rsidRPr="00A74A9F" w:rsidRDefault="00F96DA1" w:rsidP="00734469">
      <w:pPr>
        <w:pStyle w:val="af3"/>
        <w:numPr>
          <w:ilvl w:val="0"/>
          <w:numId w:val="5"/>
        </w:numPr>
        <w:ind w:left="0"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“4” ‒ показники діяльності створюють критичний ступінь ризику.</w:t>
      </w:r>
    </w:p>
    <w:p w14:paraId="289E634E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5F547CC1" w14:textId="3069B086" w:rsidR="00F96DA1" w:rsidRPr="00A74A9F" w:rsidRDefault="00F96DA1" w:rsidP="00734469">
      <w:pPr>
        <w:ind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lastRenderedPageBreak/>
        <w:t>1</w:t>
      </w:r>
      <w:r w:rsidR="00F42162" w:rsidRPr="00A74A9F">
        <w:rPr>
          <w:iCs/>
          <w:shd w:val="clear" w:color="auto" w:fill="FFFFFF"/>
        </w:rPr>
        <w:t>6</w:t>
      </w:r>
      <w:r w:rsidRPr="00A74A9F">
        <w:rPr>
          <w:iCs/>
          <w:shd w:val="clear" w:color="auto" w:fill="FFFFFF"/>
        </w:rPr>
        <w:t xml:space="preserve">. Національний банк під час </w:t>
      </w:r>
      <w:r w:rsidRPr="00A74A9F">
        <w:rPr>
          <w:bCs/>
          <w:shd w:val="clear" w:color="auto" w:fill="FFFFFF"/>
        </w:rPr>
        <w:t>оцінювання</w:t>
      </w:r>
      <w:r w:rsidRPr="00A74A9F" w:rsidDel="00A43B40">
        <w:rPr>
          <w:iCs/>
          <w:shd w:val="clear" w:color="auto" w:fill="FFFFFF"/>
        </w:rPr>
        <w:t xml:space="preserve"> </w:t>
      </w:r>
      <w:r w:rsidRPr="00A74A9F">
        <w:rPr>
          <w:iCs/>
          <w:shd w:val="clear" w:color="auto" w:fill="FFFFFF"/>
        </w:rPr>
        <w:t xml:space="preserve">ступеня ризику за критерієм, зазначеним у підпункті 3 пункту </w:t>
      </w:r>
      <w:r w:rsidR="00DF130C" w:rsidRPr="00A74A9F">
        <w:rPr>
          <w:iCs/>
          <w:shd w:val="clear" w:color="auto" w:fill="FFFFFF"/>
        </w:rPr>
        <w:t xml:space="preserve">9 </w:t>
      </w:r>
      <w:r w:rsidRPr="00A74A9F">
        <w:rPr>
          <w:iCs/>
          <w:shd w:val="clear" w:color="auto" w:fill="FFFFFF"/>
        </w:rPr>
        <w:t>розділу ІІ цього Положення, присвоює учаснику ринку небанківських фінансових послуг один із таких балів, якщо:</w:t>
      </w:r>
    </w:p>
    <w:p w14:paraId="4742D4A6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69E4CAA8" w14:textId="0BEC7028" w:rsidR="00F96DA1" w:rsidRPr="00A74A9F" w:rsidRDefault="00F96DA1" w:rsidP="00734469">
      <w:pPr>
        <w:pStyle w:val="af3"/>
        <w:numPr>
          <w:ilvl w:val="0"/>
          <w:numId w:val="6"/>
        </w:numPr>
        <w:ind w:left="0"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 xml:space="preserve">“1” ‒ </w:t>
      </w:r>
      <w:r w:rsidR="00472006" w:rsidRPr="00A74A9F">
        <w:rPr>
          <w:iCs/>
          <w:shd w:val="clear" w:color="auto" w:fill="FFFFFF"/>
        </w:rPr>
        <w:t>стан дотримання обов’язкових критеріїв і нормативів достатності капіталу та платоспроможності, ліквідності, прибутковості, якості активів та ризиковості операцій, інших показників і вимог,</w:t>
      </w:r>
      <w:r w:rsidR="00472006" w:rsidRPr="00A74A9F">
        <w:rPr>
          <w:rFonts w:eastAsia="SimSun"/>
          <w:shd w:val="clear" w:color="auto" w:fill="FFFFFF"/>
        </w:rPr>
        <w:t xml:space="preserve"> </w:t>
      </w:r>
      <w:r w:rsidR="00472006" w:rsidRPr="00A74A9F">
        <w:rPr>
          <w:iCs/>
          <w:shd w:val="clear" w:color="auto" w:fill="FFFFFF"/>
        </w:rPr>
        <w:t>що обмежують ризики за операціями з фінансовими активами</w:t>
      </w:r>
      <w:r w:rsidRPr="00A74A9F">
        <w:rPr>
          <w:iCs/>
          <w:shd w:val="clear" w:color="auto" w:fill="FFFFFF"/>
        </w:rPr>
        <w:t xml:space="preserve">, створює низький ступінь ризику; </w:t>
      </w:r>
    </w:p>
    <w:p w14:paraId="093F6D85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61593CAA" w14:textId="77777777" w:rsidR="00F96DA1" w:rsidRPr="00A74A9F" w:rsidRDefault="00F96DA1" w:rsidP="00734469">
      <w:pPr>
        <w:pStyle w:val="af3"/>
        <w:numPr>
          <w:ilvl w:val="0"/>
          <w:numId w:val="6"/>
        </w:numPr>
        <w:ind w:left="0"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“2” ‒ рівень недотримання обов’язкових критеріїв і нормативів достатності капіталу та платоспроможності, ліквідності, прибутковості, якості активів та ризиковості операцій, інших показників і вимог,</w:t>
      </w:r>
      <w:r w:rsidRPr="00A74A9F">
        <w:rPr>
          <w:rFonts w:eastAsia="SimSun"/>
          <w:shd w:val="clear" w:color="auto" w:fill="FFFFFF"/>
        </w:rPr>
        <w:t xml:space="preserve"> </w:t>
      </w:r>
      <w:r w:rsidRPr="00A74A9F">
        <w:rPr>
          <w:iCs/>
          <w:shd w:val="clear" w:color="auto" w:fill="FFFFFF"/>
        </w:rPr>
        <w:t>що обмежують ризики за операціями з фінансовими активами, створює середній ступінь ризику;</w:t>
      </w:r>
    </w:p>
    <w:p w14:paraId="37792C30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3EA0EC87" w14:textId="77777777" w:rsidR="00F96DA1" w:rsidRPr="00A74A9F" w:rsidRDefault="00F96DA1" w:rsidP="00734469">
      <w:pPr>
        <w:pStyle w:val="af3"/>
        <w:numPr>
          <w:ilvl w:val="0"/>
          <w:numId w:val="6"/>
        </w:numPr>
        <w:ind w:left="0"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“3” ‒ рівень недотримання обов’язкових критеріїв і нормативів достатності капіталу та платоспроможності, ліквідності, прибутковості, якості активів та ризиковості операцій, інших показників і вимог,</w:t>
      </w:r>
      <w:r w:rsidRPr="00A74A9F">
        <w:rPr>
          <w:rFonts w:eastAsia="SimSun"/>
          <w:shd w:val="clear" w:color="auto" w:fill="FFFFFF"/>
        </w:rPr>
        <w:t xml:space="preserve"> </w:t>
      </w:r>
      <w:r w:rsidRPr="00A74A9F">
        <w:rPr>
          <w:iCs/>
          <w:shd w:val="clear" w:color="auto" w:fill="FFFFFF"/>
        </w:rPr>
        <w:t>що обмежують ризики за операціями з фінансовими активами, створює високий ступінь ризику;</w:t>
      </w:r>
    </w:p>
    <w:p w14:paraId="3E9ECEA2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6D6A03A7" w14:textId="77777777" w:rsidR="00F96DA1" w:rsidRPr="00A74A9F" w:rsidRDefault="00F96DA1" w:rsidP="00734469">
      <w:pPr>
        <w:pStyle w:val="af3"/>
        <w:numPr>
          <w:ilvl w:val="0"/>
          <w:numId w:val="6"/>
        </w:numPr>
        <w:ind w:left="0"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“4” ‒ рівень недотримання обов’язкових критеріїв і нормативів достатності капіталу та платоспроможності, ліквідності, прибутковості, якості активів та ризиковості операцій, інших показників і вимог,</w:t>
      </w:r>
      <w:r w:rsidRPr="00A74A9F">
        <w:rPr>
          <w:rFonts w:eastAsia="SimSun"/>
          <w:shd w:val="clear" w:color="auto" w:fill="FFFFFF"/>
        </w:rPr>
        <w:t xml:space="preserve"> </w:t>
      </w:r>
      <w:r w:rsidRPr="00A74A9F">
        <w:rPr>
          <w:iCs/>
          <w:shd w:val="clear" w:color="auto" w:fill="FFFFFF"/>
        </w:rPr>
        <w:t>що обмежують ризики за операціями з фінансовими активами, створює критичний ступінь ризику.</w:t>
      </w:r>
    </w:p>
    <w:p w14:paraId="171AFF9A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01CC7A03" w14:textId="1CA40C72" w:rsidR="00F96DA1" w:rsidRPr="00A74A9F" w:rsidRDefault="00F96DA1" w:rsidP="00734469">
      <w:pPr>
        <w:ind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1</w:t>
      </w:r>
      <w:r w:rsidR="00F42162" w:rsidRPr="00A74A9F">
        <w:rPr>
          <w:iCs/>
          <w:shd w:val="clear" w:color="auto" w:fill="FFFFFF"/>
        </w:rPr>
        <w:t>7</w:t>
      </w:r>
      <w:r w:rsidRPr="00A74A9F">
        <w:rPr>
          <w:iCs/>
          <w:shd w:val="clear" w:color="auto" w:fill="FFFFFF"/>
        </w:rPr>
        <w:t>. Національний банк у разі визначення загального бала за кожним із критеріїв відповідно до додатків 1−3 до цього Положення має право застосувати коригуючий бал (але не більше одного), який збільшує або зменшує загальний бал за критерієм.</w:t>
      </w:r>
    </w:p>
    <w:p w14:paraId="1C716802" w14:textId="77777777" w:rsidR="00F96DA1" w:rsidRPr="00A74A9F" w:rsidRDefault="00F96DA1" w:rsidP="00734469">
      <w:pPr>
        <w:ind w:firstLine="567"/>
        <w:rPr>
          <w:iCs/>
          <w:highlight w:val="magenta"/>
          <w:shd w:val="clear" w:color="auto" w:fill="FFFFFF"/>
        </w:rPr>
      </w:pPr>
    </w:p>
    <w:p w14:paraId="6998FEE3" w14:textId="648C9479" w:rsidR="0047153C" w:rsidRPr="00A74A9F" w:rsidRDefault="00F96DA1" w:rsidP="00734469">
      <w:pPr>
        <w:suppressAutoHyphens/>
        <w:autoSpaceDN w:val="0"/>
        <w:ind w:firstLine="567"/>
        <w:textAlignment w:val="baseline"/>
        <w:rPr>
          <w:kern w:val="3"/>
          <w:lang w:eastAsia="ru-RU" w:bidi="hi-IN"/>
        </w:rPr>
      </w:pPr>
      <w:r w:rsidRPr="00A74A9F">
        <w:rPr>
          <w:iCs/>
          <w:kern w:val="3"/>
          <w:shd w:val="clear" w:color="auto" w:fill="FFFFFF"/>
          <w:lang w:bidi="hi-IN"/>
        </w:rPr>
        <w:t>1</w:t>
      </w:r>
      <w:r w:rsidR="00F42162" w:rsidRPr="00A74A9F">
        <w:rPr>
          <w:iCs/>
          <w:kern w:val="3"/>
          <w:shd w:val="clear" w:color="auto" w:fill="FFFFFF"/>
          <w:lang w:bidi="hi-IN"/>
        </w:rPr>
        <w:t>8</w:t>
      </w:r>
      <w:r w:rsidRPr="00A74A9F">
        <w:rPr>
          <w:iCs/>
          <w:kern w:val="3"/>
          <w:shd w:val="clear" w:color="auto" w:fill="FFFFFF"/>
          <w:lang w:bidi="hi-IN"/>
        </w:rPr>
        <w:t xml:space="preserve">. Національний банк у разі застосування або незастосування коригуючого бала </w:t>
      </w:r>
      <w:r w:rsidRPr="00A74A9F">
        <w:rPr>
          <w:kern w:val="3"/>
          <w:lang w:eastAsia="ru-RU" w:bidi="hi-IN"/>
        </w:rPr>
        <w:t xml:space="preserve">керується </w:t>
      </w:r>
      <w:r w:rsidR="0047153C" w:rsidRPr="00A74A9F">
        <w:rPr>
          <w:kern w:val="3"/>
          <w:lang w:eastAsia="ru-RU" w:bidi="hi-IN"/>
        </w:rPr>
        <w:t xml:space="preserve">висновками щодо фактів, подій, обставин, осіб, що ґрунтуються на знаннях і досвіді Національного банку у сфері регулювання та нагляду за діяльністю з надання фінансових послуг, практичному застосуванні законодавства </w:t>
      </w:r>
      <w:r w:rsidR="0047153C" w:rsidRPr="00A74A9F">
        <w:rPr>
          <w:rFonts w:eastAsia="NSimSun"/>
          <w:kern w:val="3"/>
          <w:shd w:val="clear" w:color="auto" w:fill="FFFFFF"/>
          <w:lang w:eastAsia="zh-CN" w:bidi="hi-IN"/>
        </w:rPr>
        <w:t>про регулювання діяльності з надання фінансових послуг</w:t>
      </w:r>
      <w:r w:rsidR="0047153C" w:rsidRPr="00A74A9F">
        <w:rPr>
          <w:kern w:val="3"/>
          <w:lang w:eastAsia="ru-RU" w:bidi="hi-IN"/>
        </w:rPr>
        <w:t>, а також на комплексному та всебічному аналізі:</w:t>
      </w:r>
    </w:p>
    <w:p w14:paraId="0028C186" w14:textId="77777777" w:rsidR="00734469" w:rsidRPr="00A74A9F" w:rsidRDefault="00734469" w:rsidP="00734469">
      <w:pPr>
        <w:suppressAutoHyphens/>
        <w:autoSpaceDN w:val="0"/>
        <w:ind w:firstLine="567"/>
        <w:textAlignment w:val="baseline"/>
        <w:rPr>
          <w:kern w:val="3"/>
          <w:lang w:eastAsia="ru-RU" w:bidi="hi-IN"/>
        </w:rPr>
      </w:pPr>
    </w:p>
    <w:p w14:paraId="2D774161" w14:textId="17CDF161" w:rsidR="0047153C" w:rsidRPr="00A74A9F" w:rsidRDefault="0047153C" w:rsidP="00734469">
      <w:pPr>
        <w:suppressAutoHyphens/>
        <w:autoSpaceDN w:val="0"/>
        <w:ind w:firstLine="567"/>
        <w:textAlignment w:val="baseline"/>
      </w:pPr>
      <w:r w:rsidRPr="00A74A9F">
        <w:rPr>
          <w:kern w:val="3"/>
          <w:lang w:eastAsia="ru-RU" w:bidi="hi-IN"/>
        </w:rPr>
        <w:t>1) інформації та документів, поданих до Національного банку в межах передбаченої законодавством України процедури взаємодії та обміну інформацією, а також отриманих від державних органів та з інших джерел</w:t>
      </w:r>
      <w:r w:rsidRPr="00A74A9F">
        <w:t xml:space="preserve">, </w:t>
      </w:r>
      <w:r w:rsidR="00215EBD">
        <w:t>що</w:t>
      </w:r>
      <w:r w:rsidR="00215EBD" w:rsidRPr="00A74A9F">
        <w:t xml:space="preserve"> </w:t>
      </w:r>
      <w:r w:rsidRPr="00A74A9F">
        <w:t>використовуються Національним банком під час виконання наглядових функцій;</w:t>
      </w:r>
    </w:p>
    <w:p w14:paraId="66BFFAD5" w14:textId="77777777" w:rsidR="00734469" w:rsidRPr="00A74A9F" w:rsidRDefault="00734469" w:rsidP="00734469">
      <w:pPr>
        <w:suppressAutoHyphens/>
        <w:autoSpaceDN w:val="0"/>
        <w:ind w:firstLine="567"/>
        <w:textAlignment w:val="baseline"/>
        <w:rPr>
          <w:kern w:val="3"/>
          <w:lang w:eastAsia="ru-RU" w:bidi="hi-IN"/>
        </w:rPr>
      </w:pPr>
    </w:p>
    <w:p w14:paraId="78FA9684" w14:textId="4F69CC09" w:rsidR="00472006" w:rsidRPr="00A74A9F" w:rsidRDefault="0047153C" w:rsidP="00734469">
      <w:pPr>
        <w:suppressAutoHyphens/>
        <w:autoSpaceDN w:val="0"/>
        <w:ind w:firstLine="567"/>
        <w:textAlignment w:val="baseline"/>
      </w:pPr>
      <w:r w:rsidRPr="00A74A9F">
        <w:rPr>
          <w:kern w:val="3"/>
          <w:lang w:eastAsia="ru-RU" w:bidi="hi-IN"/>
        </w:rPr>
        <w:t xml:space="preserve">2) </w:t>
      </w:r>
      <w:r w:rsidRPr="00A74A9F">
        <w:t xml:space="preserve">інформації та документів, наявних у Національного банку, отриманих </w:t>
      </w:r>
      <w:r w:rsidR="00215EBD">
        <w:t>і</w:t>
      </w:r>
      <w:r w:rsidRPr="00A74A9F">
        <w:t xml:space="preserve">з джерел, </w:t>
      </w:r>
      <w:r w:rsidR="0074478F">
        <w:t>що</w:t>
      </w:r>
      <w:r w:rsidR="0074478F" w:rsidRPr="00A74A9F">
        <w:t xml:space="preserve"> </w:t>
      </w:r>
      <w:r w:rsidRPr="00A74A9F">
        <w:t xml:space="preserve">використовуються Національним банком під час виконання </w:t>
      </w:r>
      <w:r w:rsidRPr="00A74A9F">
        <w:lastRenderedPageBreak/>
        <w:t xml:space="preserve">наглядових функцій, </w:t>
      </w:r>
      <w:r w:rsidR="00311F71">
        <w:t>в</w:t>
      </w:r>
      <w:r w:rsidRPr="00A74A9F">
        <w:t>ключаючи отримані в результаті здійснення ним нагляду на ринках небанківських фінансових послуг.</w:t>
      </w:r>
    </w:p>
    <w:p w14:paraId="0401132A" w14:textId="77777777" w:rsidR="0047153C" w:rsidRPr="00A74A9F" w:rsidRDefault="0047153C" w:rsidP="00734469">
      <w:pPr>
        <w:suppressAutoHyphens/>
        <w:autoSpaceDN w:val="0"/>
        <w:ind w:firstLine="567"/>
        <w:textAlignment w:val="baseline"/>
        <w:rPr>
          <w:kern w:val="3"/>
          <w:lang w:eastAsia="ru-RU" w:bidi="hi-IN"/>
        </w:rPr>
      </w:pPr>
    </w:p>
    <w:p w14:paraId="78B123F6" w14:textId="1FD92555" w:rsidR="00F96DA1" w:rsidRPr="00A74A9F" w:rsidRDefault="00F96DA1" w:rsidP="00734469">
      <w:pPr>
        <w:ind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1</w:t>
      </w:r>
      <w:r w:rsidR="00F42162" w:rsidRPr="00A74A9F">
        <w:rPr>
          <w:iCs/>
          <w:shd w:val="clear" w:color="auto" w:fill="FFFFFF"/>
        </w:rPr>
        <w:t>9</w:t>
      </w:r>
      <w:r w:rsidRPr="00A74A9F">
        <w:rPr>
          <w:iCs/>
          <w:shd w:val="clear" w:color="auto" w:fill="FFFFFF"/>
        </w:rPr>
        <w:t xml:space="preserve">. За результатами </w:t>
      </w:r>
      <w:r w:rsidRPr="00A74A9F">
        <w:rPr>
          <w:bCs/>
          <w:shd w:val="clear" w:color="auto" w:fill="FFFFFF"/>
        </w:rPr>
        <w:t>оцінювання</w:t>
      </w:r>
      <w:r w:rsidRPr="00A74A9F" w:rsidDel="00A43B40">
        <w:rPr>
          <w:iCs/>
          <w:shd w:val="clear" w:color="auto" w:fill="FFFFFF"/>
        </w:rPr>
        <w:t xml:space="preserve"> </w:t>
      </w:r>
      <w:r w:rsidRPr="00A74A9F">
        <w:rPr>
          <w:iCs/>
          <w:shd w:val="clear" w:color="auto" w:fill="FFFFFF"/>
        </w:rPr>
        <w:t xml:space="preserve">кожного з </w:t>
      </w:r>
      <w:r w:rsidR="0074478F" w:rsidRPr="00A74A9F">
        <w:rPr>
          <w:iCs/>
          <w:shd w:val="clear" w:color="auto" w:fill="FFFFFF"/>
        </w:rPr>
        <w:t>критеріїв</w:t>
      </w:r>
      <w:r w:rsidR="0074478F">
        <w:rPr>
          <w:iCs/>
          <w:shd w:val="clear" w:color="auto" w:fill="FFFFFF"/>
        </w:rPr>
        <w:t>,</w:t>
      </w:r>
      <w:r w:rsidR="0074478F" w:rsidRPr="00A74A9F">
        <w:rPr>
          <w:iCs/>
          <w:shd w:val="clear" w:color="auto" w:fill="FFFFFF"/>
        </w:rPr>
        <w:t xml:space="preserve"> </w:t>
      </w:r>
      <w:r w:rsidRPr="00A74A9F">
        <w:rPr>
          <w:iCs/>
          <w:shd w:val="clear" w:color="auto" w:fill="FFFFFF"/>
        </w:rPr>
        <w:t xml:space="preserve">визначених у пункті </w:t>
      </w:r>
      <w:r w:rsidR="0063305B" w:rsidRPr="00A74A9F">
        <w:rPr>
          <w:iCs/>
          <w:shd w:val="clear" w:color="auto" w:fill="FFFFFF"/>
        </w:rPr>
        <w:t xml:space="preserve">9 </w:t>
      </w:r>
      <w:r w:rsidRPr="00A74A9F">
        <w:rPr>
          <w:iCs/>
          <w:shd w:val="clear" w:color="auto" w:fill="FFFFFF"/>
        </w:rPr>
        <w:t>розділу ІІ цього Положення</w:t>
      </w:r>
      <w:r w:rsidR="0074478F">
        <w:rPr>
          <w:iCs/>
          <w:shd w:val="clear" w:color="auto" w:fill="FFFFFF"/>
        </w:rPr>
        <w:t>,</w:t>
      </w:r>
      <w:r w:rsidRPr="00A74A9F">
        <w:rPr>
          <w:iCs/>
          <w:shd w:val="clear" w:color="auto" w:fill="FFFFFF"/>
        </w:rPr>
        <w:t xml:space="preserve"> визначається ступінь ризику</w:t>
      </w:r>
      <w:r w:rsidR="00C840DF" w:rsidRPr="00A74A9F">
        <w:rPr>
          <w:iCs/>
          <w:shd w:val="clear" w:color="auto" w:fill="FFFFFF"/>
        </w:rPr>
        <w:t xml:space="preserve"> від здійснення діяльності</w:t>
      </w:r>
      <w:r w:rsidRPr="00A74A9F">
        <w:rPr>
          <w:iCs/>
          <w:shd w:val="clear" w:color="auto" w:fill="FFFFFF"/>
        </w:rPr>
        <w:t xml:space="preserve"> учасника ринку небанківських фінансових послуг,</w:t>
      </w:r>
      <w:r w:rsidRPr="00A74A9F">
        <w:rPr>
          <w:rFonts w:eastAsia="SimSun"/>
        </w:rPr>
        <w:t xml:space="preserve"> </w:t>
      </w:r>
      <w:r w:rsidR="0074478F">
        <w:rPr>
          <w:rFonts w:eastAsia="SimSun"/>
        </w:rPr>
        <w:t xml:space="preserve">водночас </w:t>
      </w:r>
      <w:r w:rsidRPr="00A74A9F">
        <w:rPr>
          <w:iCs/>
          <w:shd w:val="clear" w:color="auto" w:fill="FFFFFF"/>
        </w:rPr>
        <w:t xml:space="preserve">кожен </w:t>
      </w:r>
      <w:r w:rsidR="00155233">
        <w:rPr>
          <w:iCs/>
          <w:shd w:val="clear" w:color="auto" w:fill="FFFFFF"/>
        </w:rPr>
        <w:t>і</w:t>
      </w:r>
      <w:r w:rsidRPr="00A74A9F">
        <w:rPr>
          <w:iCs/>
          <w:shd w:val="clear" w:color="auto" w:fill="FFFFFF"/>
        </w:rPr>
        <w:t xml:space="preserve">з показників критеріїв залежно від виду учасника ринку небанківських фінансових послуг також має свою вагу в ступені ризику, наведену в додатках 1‒3 до цього Положення. </w:t>
      </w:r>
    </w:p>
    <w:p w14:paraId="3EBD7B2B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062B028E" w14:textId="5D241896" w:rsidR="00F96DA1" w:rsidRPr="00A74A9F" w:rsidRDefault="00F42162" w:rsidP="00734469">
      <w:pPr>
        <w:ind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20</w:t>
      </w:r>
      <w:r w:rsidR="00F96DA1" w:rsidRPr="00A74A9F">
        <w:rPr>
          <w:iCs/>
          <w:shd w:val="clear" w:color="auto" w:fill="FFFFFF"/>
        </w:rPr>
        <w:t>. Ступінь ризику учасника ринку небанківських фінансових послуг означає:</w:t>
      </w:r>
    </w:p>
    <w:p w14:paraId="3B0DC493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1A3AFDB7" w14:textId="77777777" w:rsidR="00F96DA1" w:rsidRPr="00A74A9F" w:rsidRDefault="00F96DA1" w:rsidP="00734469">
      <w:pPr>
        <w:pStyle w:val="af3"/>
        <w:numPr>
          <w:ilvl w:val="0"/>
          <w:numId w:val="7"/>
        </w:numPr>
        <w:ind w:left="0"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“1” ‒ низький ступінь ризику;</w:t>
      </w:r>
    </w:p>
    <w:p w14:paraId="642425CD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59CB1EE2" w14:textId="77777777" w:rsidR="00F96DA1" w:rsidRPr="00A74A9F" w:rsidRDefault="00F96DA1" w:rsidP="00734469">
      <w:pPr>
        <w:pStyle w:val="af3"/>
        <w:numPr>
          <w:ilvl w:val="0"/>
          <w:numId w:val="7"/>
        </w:numPr>
        <w:ind w:left="0"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“2” ‒  середній ступінь ризику;</w:t>
      </w:r>
    </w:p>
    <w:p w14:paraId="606CB624" w14:textId="77777777" w:rsidR="00F96DA1" w:rsidRPr="00A74A9F" w:rsidRDefault="00F96DA1" w:rsidP="00734469">
      <w:pPr>
        <w:ind w:firstLine="567"/>
        <w:rPr>
          <w:iCs/>
          <w:shd w:val="clear" w:color="auto" w:fill="FFFFFF"/>
        </w:rPr>
      </w:pPr>
    </w:p>
    <w:p w14:paraId="0332C22F" w14:textId="77777777" w:rsidR="00B150EA" w:rsidRPr="00A74A9F" w:rsidRDefault="00F96DA1" w:rsidP="00734469">
      <w:pPr>
        <w:pStyle w:val="af3"/>
        <w:numPr>
          <w:ilvl w:val="0"/>
          <w:numId w:val="7"/>
        </w:numPr>
        <w:ind w:left="0"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>“3” – високий ступінь ризику;</w:t>
      </w:r>
    </w:p>
    <w:p w14:paraId="7B2B9BD2" w14:textId="77777777" w:rsidR="00B150EA" w:rsidRPr="00A74A9F" w:rsidRDefault="00B150EA" w:rsidP="00734469">
      <w:pPr>
        <w:pStyle w:val="af3"/>
        <w:ind w:left="0" w:firstLine="567"/>
        <w:rPr>
          <w:iCs/>
          <w:shd w:val="clear" w:color="auto" w:fill="FFFFFF"/>
        </w:rPr>
      </w:pPr>
    </w:p>
    <w:p w14:paraId="369CCACD" w14:textId="1DC755C9" w:rsidR="00F96DA1" w:rsidRPr="00A74A9F" w:rsidRDefault="00F96DA1" w:rsidP="00734469">
      <w:pPr>
        <w:pStyle w:val="af3"/>
        <w:numPr>
          <w:ilvl w:val="0"/>
          <w:numId w:val="7"/>
        </w:numPr>
        <w:ind w:left="0" w:firstLine="567"/>
        <w:rPr>
          <w:iCs/>
          <w:shd w:val="clear" w:color="auto" w:fill="FFFFFF"/>
        </w:rPr>
      </w:pPr>
      <w:r w:rsidRPr="00A74A9F">
        <w:rPr>
          <w:iCs/>
          <w:shd w:val="clear" w:color="auto" w:fill="FFFFFF"/>
        </w:rPr>
        <w:t xml:space="preserve">“4” ‒ критичний ступінь ризику. </w:t>
      </w:r>
    </w:p>
    <w:p w14:paraId="0803A606" w14:textId="77777777" w:rsidR="00C12949" w:rsidRPr="00A74A9F" w:rsidRDefault="00C12949" w:rsidP="00734469">
      <w:pPr>
        <w:pStyle w:val="af3"/>
        <w:ind w:left="0" w:firstLine="567"/>
        <w:rPr>
          <w:iCs/>
          <w:shd w:val="clear" w:color="auto" w:fill="FFFFFF"/>
        </w:rPr>
      </w:pPr>
    </w:p>
    <w:p w14:paraId="49BB93E6" w14:textId="654E0799" w:rsidR="00F96DA1" w:rsidRPr="00A74A9F" w:rsidRDefault="00F42162" w:rsidP="00734469">
      <w:pPr>
        <w:ind w:firstLine="567"/>
      </w:pPr>
      <w:r w:rsidRPr="00A74A9F">
        <w:t>2</w:t>
      </w:r>
      <w:r w:rsidR="00F96DA1" w:rsidRPr="00A74A9F">
        <w:t xml:space="preserve">1. Національний банк згідно з критеріями, визначеними в додатках 4‒6 до </w:t>
      </w:r>
      <w:r w:rsidR="00F96DA1" w:rsidRPr="00A74A9F">
        <w:rPr>
          <w:iCs/>
          <w:shd w:val="clear" w:color="auto" w:fill="FFFFFF"/>
        </w:rPr>
        <w:t>цього Положення</w:t>
      </w:r>
      <w:r w:rsidR="00F96DA1" w:rsidRPr="00A74A9F">
        <w:t xml:space="preserve">, відносить учасника ринку небанківських фінансових послуг до однієї з таких груп суспільної важливості учасників ринку небанківських фінансових послуг, ураховуючи </w:t>
      </w:r>
      <w:r w:rsidR="00B917E8" w:rsidRPr="00A74A9F">
        <w:t xml:space="preserve">види </w:t>
      </w:r>
      <w:r w:rsidR="00B917E8">
        <w:t xml:space="preserve">проваджуваної ним </w:t>
      </w:r>
      <w:r w:rsidR="00F96DA1" w:rsidRPr="00A74A9F">
        <w:t>діяльності, розмір, обсяги (частку) на ринку фінансових послуг, структуру, а також інші показники:</w:t>
      </w:r>
    </w:p>
    <w:p w14:paraId="3C25B6AC" w14:textId="77777777" w:rsidR="00F96DA1" w:rsidRPr="00A74A9F" w:rsidRDefault="00F96DA1" w:rsidP="00734469">
      <w:pPr>
        <w:ind w:firstLine="567"/>
      </w:pPr>
    </w:p>
    <w:p w14:paraId="0DDDAF57" w14:textId="77777777" w:rsidR="00F96DA1" w:rsidRPr="00A74A9F" w:rsidRDefault="00F96DA1" w:rsidP="00734469">
      <w:pPr>
        <w:numPr>
          <w:ilvl w:val="0"/>
          <w:numId w:val="3"/>
        </w:numPr>
        <w:ind w:left="0" w:firstLine="567"/>
        <w:contextualSpacing/>
      </w:pPr>
      <w:r w:rsidRPr="00A74A9F">
        <w:t>група 1;</w:t>
      </w:r>
    </w:p>
    <w:p w14:paraId="0C9C61B1" w14:textId="77777777" w:rsidR="00F96DA1" w:rsidRPr="00A74A9F" w:rsidRDefault="00F96DA1" w:rsidP="00734469">
      <w:pPr>
        <w:ind w:firstLine="567"/>
        <w:contextualSpacing/>
      </w:pPr>
    </w:p>
    <w:p w14:paraId="665C88E8" w14:textId="77777777" w:rsidR="00F96DA1" w:rsidRPr="00A74A9F" w:rsidRDefault="00F96DA1" w:rsidP="00734469">
      <w:pPr>
        <w:numPr>
          <w:ilvl w:val="0"/>
          <w:numId w:val="3"/>
        </w:numPr>
        <w:ind w:left="0" w:firstLine="567"/>
        <w:contextualSpacing/>
      </w:pPr>
      <w:r w:rsidRPr="00A74A9F">
        <w:t>група 2;</w:t>
      </w:r>
    </w:p>
    <w:p w14:paraId="06FD22AC" w14:textId="77777777" w:rsidR="00F96DA1" w:rsidRPr="00A74A9F" w:rsidRDefault="00F96DA1" w:rsidP="00734469">
      <w:pPr>
        <w:ind w:firstLine="567"/>
      </w:pPr>
    </w:p>
    <w:p w14:paraId="3827D3A9" w14:textId="77777777" w:rsidR="00F96DA1" w:rsidRPr="00A74A9F" w:rsidRDefault="00F96DA1" w:rsidP="00734469">
      <w:pPr>
        <w:numPr>
          <w:ilvl w:val="0"/>
          <w:numId w:val="3"/>
        </w:numPr>
        <w:ind w:left="0" w:firstLine="567"/>
        <w:contextualSpacing/>
      </w:pPr>
      <w:r w:rsidRPr="00A74A9F">
        <w:t>група 3;</w:t>
      </w:r>
    </w:p>
    <w:p w14:paraId="6AEFD68E" w14:textId="77777777" w:rsidR="00F96DA1" w:rsidRPr="00A74A9F" w:rsidRDefault="00F96DA1" w:rsidP="00734469">
      <w:pPr>
        <w:ind w:firstLine="567"/>
        <w:contextualSpacing/>
      </w:pPr>
    </w:p>
    <w:p w14:paraId="0E06EF77" w14:textId="7B4A372C" w:rsidR="00F96DA1" w:rsidRPr="00A74A9F" w:rsidRDefault="00F96DA1" w:rsidP="00734469">
      <w:pPr>
        <w:pStyle w:val="af3"/>
        <w:numPr>
          <w:ilvl w:val="0"/>
          <w:numId w:val="3"/>
        </w:numPr>
        <w:ind w:left="0" w:firstLine="567"/>
      </w:pPr>
      <w:r w:rsidRPr="00A74A9F">
        <w:t>група 4</w:t>
      </w:r>
      <w:r w:rsidRPr="00A74A9F">
        <w:rPr>
          <w:iCs/>
          <w:shd w:val="clear" w:color="auto" w:fill="FFFFFF"/>
        </w:rPr>
        <w:t>.</w:t>
      </w:r>
    </w:p>
    <w:p w14:paraId="6668FE6F" w14:textId="10901A25" w:rsidR="00247960" w:rsidRPr="00A74A9F" w:rsidRDefault="00094990" w:rsidP="00734469">
      <w:pPr>
        <w:pStyle w:val="af3"/>
        <w:ind w:left="0" w:firstLine="567"/>
        <w:rPr>
          <w:lang w:eastAsia="en-US"/>
        </w:rPr>
      </w:pPr>
      <w:r w:rsidRPr="00A74A9F">
        <w:t>Національний банк відносить</w:t>
      </w:r>
      <w:r w:rsidR="005E1009">
        <w:t xml:space="preserve"> </w:t>
      </w:r>
      <w:r w:rsidR="0046162D" w:rsidRPr="00A74A9F">
        <w:t xml:space="preserve">учасника ринку небанківських фінансових послуг до </w:t>
      </w:r>
      <w:r w:rsidR="00472006" w:rsidRPr="00A74A9F">
        <w:rPr>
          <w:shd w:val="clear" w:color="auto" w:fill="FFFFFF"/>
        </w:rPr>
        <w:t xml:space="preserve">вищої групи </w:t>
      </w:r>
      <w:r w:rsidR="0046162D" w:rsidRPr="00A74A9F">
        <w:t xml:space="preserve">суспільної важливості, якщо такий учасник може бути віднесений до різних груп суспільної важливості згідно з критеріями для визначення </w:t>
      </w:r>
      <w:r w:rsidR="0067749D" w:rsidRPr="00A74A9F">
        <w:t xml:space="preserve">групи </w:t>
      </w:r>
      <w:r w:rsidR="0046162D" w:rsidRPr="00A74A9F">
        <w:t>суспільної важливості за різними напрямами діяльності.</w:t>
      </w:r>
    </w:p>
    <w:p w14:paraId="3D6EA3A5" w14:textId="77777777" w:rsidR="0056526F" w:rsidRPr="00A74A9F" w:rsidRDefault="0056526F" w:rsidP="00734469">
      <w:pPr>
        <w:ind w:firstLine="567"/>
      </w:pPr>
    </w:p>
    <w:p w14:paraId="6E5FD6ED" w14:textId="6BF1E753" w:rsidR="00F96DA1" w:rsidRPr="00A74A9F" w:rsidRDefault="00F96DA1" w:rsidP="00E17417">
      <w:pPr>
        <w:keepNext/>
        <w:jc w:val="center"/>
      </w:pPr>
      <w:r w:rsidRPr="00A74A9F">
        <w:t xml:space="preserve">ІІІ. Визначення періодичності проведення </w:t>
      </w:r>
    </w:p>
    <w:p w14:paraId="6DC53602" w14:textId="77777777" w:rsidR="00F96DA1" w:rsidRPr="00A74A9F" w:rsidRDefault="00F96DA1" w:rsidP="00E17417">
      <w:pPr>
        <w:keepNext/>
        <w:jc w:val="center"/>
      </w:pPr>
      <w:r w:rsidRPr="00A74A9F">
        <w:t>планових інспекційних перевірок</w:t>
      </w:r>
    </w:p>
    <w:p w14:paraId="41B5EAEE" w14:textId="77777777" w:rsidR="00F96DA1" w:rsidRPr="00A74A9F" w:rsidRDefault="00F96DA1" w:rsidP="00E17417">
      <w:pPr>
        <w:keepNext/>
        <w:ind w:firstLine="567"/>
      </w:pPr>
    </w:p>
    <w:p w14:paraId="73E029FA" w14:textId="0B481D1C" w:rsidR="00DF130C" w:rsidRPr="00A74A9F" w:rsidRDefault="00F96DA1" w:rsidP="00734469">
      <w:pPr>
        <w:ind w:firstLine="567"/>
      </w:pPr>
      <w:r w:rsidRPr="00A74A9F">
        <w:t>2</w:t>
      </w:r>
      <w:r w:rsidR="0041385A" w:rsidRPr="00A74A9F">
        <w:t>2</w:t>
      </w:r>
      <w:r w:rsidRPr="00A74A9F">
        <w:t xml:space="preserve">. </w:t>
      </w:r>
      <w:r w:rsidRPr="00EC014B">
        <w:t>Періодичність</w:t>
      </w:r>
      <w:r w:rsidRPr="00A74A9F">
        <w:t xml:space="preserve"> проведення планових інспекційних перевірок учасників ринку небанківських фінансових послуг визначається Національним банком на </w:t>
      </w:r>
      <w:r w:rsidRPr="00A74A9F">
        <w:lastRenderedPageBreak/>
        <w:t xml:space="preserve">підставі </w:t>
      </w:r>
      <w:r w:rsidRPr="00A74A9F">
        <w:rPr>
          <w:iCs/>
          <w:shd w:val="clear" w:color="auto" w:fill="FFFFFF"/>
        </w:rPr>
        <w:t>матриці</w:t>
      </w:r>
      <w:r w:rsidR="00DF130C" w:rsidRPr="00A74A9F">
        <w:rPr>
          <w:iCs/>
          <w:shd w:val="clear" w:color="auto" w:fill="FFFFFF"/>
        </w:rPr>
        <w:t xml:space="preserve"> </w:t>
      </w:r>
      <w:r w:rsidR="00DF130C" w:rsidRPr="00A74A9F">
        <w:t>визначення періодичності проведення планових інспекційних перевірок</w:t>
      </w:r>
      <w:r w:rsidRPr="00A74A9F">
        <w:rPr>
          <w:iCs/>
          <w:shd w:val="clear" w:color="auto" w:fill="FFFFFF"/>
        </w:rPr>
        <w:t>, наведеної в додатку 7 до цього Положення.</w:t>
      </w:r>
    </w:p>
    <w:p w14:paraId="29B0979D" w14:textId="77777777" w:rsidR="00F96DA1" w:rsidRPr="00A74A9F" w:rsidRDefault="00F96DA1" w:rsidP="00734469">
      <w:pPr>
        <w:ind w:firstLine="567"/>
      </w:pPr>
    </w:p>
    <w:p w14:paraId="76B52C49" w14:textId="306C779A" w:rsidR="00F96DA1" w:rsidRPr="00A74A9F" w:rsidRDefault="00F96DA1" w:rsidP="00734469">
      <w:pPr>
        <w:ind w:firstLine="567"/>
      </w:pPr>
      <w:r w:rsidRPr="00A74A9F">
        <w:t>2</w:t>
      </w:r>
      <w:r w:rsidR="0041385A" w:rsidRPr="00A74A9F">
        <w:t>3</w:t>
      </w:r>
      <w:r w:rsidRPr="00A74A9F">
        <w:t>.</w:t>
      </w:r>
      <w:r w:rsidRPr="00A74A9F">
        <w:rPr>
          <w:rFonts w:eastAsia="SimSun"/>
          <w:shd w:val="clear" w:color="auto" w:fill="FFFFFF"/>
        </w:rPr>
        <w:t xml:space="preserve"> </w:t>
      </w:r>
      <w:r w:rsidRPr="00A74A9F">
        <w:t xml:space="preserve">Національний банк складає план проведення інспекційних перевірок учасників ринку небанківських фінансових послуг з урахуванням періодичності, наведеної відповідно до пункту </w:t>
      </w:r>
      <w:r w:rsidR="0063305B" w:rsidRPr="00A74A9F">
        <w:t xml:space="preserve">22 </w:t>
      </w:r>
      <w:r w:rsidRPr="00A74A9F">
        <w:t xml:space="preserve">розділу ІІІ </w:t>
      </w:r>
      <w:r w:rsidRPr="00A74A9F">
        <w:rPr>
          <w:iCs/>
          <w:shd w:val="clear" w:color="auto" w:fill="FFFFFF"/>
        </w:rPr>
        <w:t>цього Положення</w:t>
      </w:r>
      <w:r w:rsidRPr="00A74A9F">
        <w:t>, наявних наглядових ресурсів та пріоритетів, а також з урахуванням такого:</w:t>
      </w:r>
    </w:p>
    <w:p w14:paraId="1F70ECF3" w14:textId="77777777" w:rsidR="00F96DA1" w:rsidRPr="00A74A9F" w:rsidRDefault="00F96DA1" w:rsidP="00734469">
      <w:pPr>
        <w:ind w:firstLine="567"/>
      </w:pPr>
    </w:p>
    <w:p w14:paraId="4A3EE6A4" w14:textId="38798B92" w:rsidR="00F96DA1" w:rsidRPr="00A74A9F" w:rsidRDefault="00F96DA1" w:rsidP="00734469">
      <w:pPr>
        <w:ind w:firstLine="567"/>
      </w:pPr>
      <w:r w:rsidRPr="00A74A9F">
        <w:t>1) планова інспекційна перевірка учасника ринку небанківських фінансових послуг проводит</w:t>
      </w:r>
      <w:r w:rsidR="00155233">
        <w:t>ь</w:t>
      </w:r>
      <w:r w:rsidRPr="00A74A9F">
        <w:t>ся не частіше одного разу на рік;</w:t>
      </w:r>
    </w:p>
    <w:p w14:paraId="6A22FC8A" w14:textId="77777777" w:rsidR="00F96DA1" w:rsidRPr="00A74A9F" w:rsidRDefault="00F96DA1" w:rsidP="00734469">
      <w:pPr>
        <w:ind w:firstLine="567"/>
      </w:pPr>
    </w:p>
    <w:p w14:paraId="5B3F279A" w14:textId="195E47D1" w:rsidR="00F96DA1" w:rsidRPr="00A74A9F" w:rsidRDefault="00F96DA1" w:rsidP="00734469">
      <w:pPr>
        <w:ind w:firstLine="567"/>
        <w:rPr>
          <w:bCs/>
        </w:rPr>
      </w:pPr>
      <w:r w:rsidRPr="00A74A9F">
        <w:t xml:space="preserve">2) планова інспекційна перевірка учасників ринку небанківських фінансових послуг, які є учасниками фінансової групи, нагляд на консолідованій основі за якою здійснює Національний банк, </w:t>
      </w:r>
      <w:r w:rsidR="00AF4903" w:rsidRPr="00A74A9F">
        <w:t xml:space="preserve">може </w:t>
      </w:r>
      <w:r w:rsidRPr="00A74A9F">
        <w:t>плану</w:t>
      </w:r>
      <w:r w:rsidR="00AF4903" w:rsidRPr="00A74A9F">
        <w:t>ватися</w:t>
      </w:r>
      <w:r w:rsidRPr="00A74A9F">
        <w:t xml:space="preserve"> одночасно з плановою інспекційною перевіркою відповідальної особи такої фінансової групи</w:t>
      </w:r>
      <w:r w:rsidR="00AF4903" w:rsidRPr="00A74A9F">
        <w:t xml:space="preserve"> та інших її учасників</w:t>
      </w:r>
      <w:r w:rsidRPr="00A74A9F">
        <w:t>.</w:t>
      </w:r>
    </w:p>
    <w:p w14:paraId="20DF273F" w14:textId="77777777" w:rsidR="00F96DA1" w:rsidRPr="00A74A9F" w:rsidRDefault="00F96DA1" w:rsidP="00734469">
      <w:pPr>
        <w:ind w:firstLine="567"/>
      </w:pPr>
    </w:p>
    <w:p w14:paraId="2BF16FBC" w14:textId="4071A15C" w:rsidR="00F96DA1" w:rsidRPr="00A74A9F" w:rsidRDefault="00472006" w:rsidP="00734469">
      <w:pPr>
        <w:ind w:firstLine="567"/>
      </w:pPr>
      <w:r w:rsidRPr="00A74A9F">
        <w:t xml:space="preserve">24. </w:t>
      </w:r>
      <w:r w:rsidR="0056526F" w:rsidRPr="00A74A9F">
        <w:t>До плану інспекційних перевірок</w:t>
      </w:r>
      <w:r w:rsidR="00EF32E5" w:rsidRPr="00A74A9F">
        <w:t xml:space="preserve"> учасників ринку небанківських фінансових послуг</w:t>
      </w:r>
      <w:r w:rsidRPr="00A74A9F">
        <w:t xml:space="preserve"> </w:t>
      </w:r>
      <w:r w:rsidR="0056526F" w:rsidRPr="00A74A9F">
        <w:t>не включаються учасники ринку не</w:t>
      </w:r>
      <w:r w:rsidR="00D92279" w:rsidRPr="00A74A9F">
        <w:t xml:space="preserve">банківських фінансових послуг, </w:t>
      </w:r>
      <w:r w:rsidR="0056526F" w:rsidRPr="00A74A9F">
        <w:t>місцезнаходження</w:t>
      </w:r>
      <w:r w:rsidR="006C17D4" w:rsidRPr="00A74A9F">
        <w:t>м</w:t>
      </w:r>
      <w:r w:rsidR="0056526F" w:rsidRPr="00A74A9F">
        <w:t xml:space="preserve"> яких </w:t>
      </w:r>
      <w:r w:rsidR="00094D03" w:rsidRPr="00A74A9F">
        <w:t xml:space="preserve">на дату оцінювання </w:t>
      </w:r>
      <w:r w:rsidR="0056526F" w:rsidRPr="00A74A9F">
        <w:t>є населені пункти територіальних громад, уключені до</w:t>
      </w:r>
      <w:r w:rsidR="00040AC3" w:rsidRPr="00A74A9F">
        <w:t xml:space="preserve"> </w:t>
      </w:r>
      <w:r w:rsidR="0056526F" w:rsidRPr="00A74A9F">
        <w:t xml:space="preserve">Переліку територій, на яких ведуться (велися) бойові дії або тимчасово окупованих Російською Федерацією, затвердженого наказом Міністерства з питань реінтеграції тимчасово окупованих територій України від 22 грудня 2022 року № 309, зареєстрованого в Міністерстві юстиції України 23 грудня 2022 року за № 1668/39004 (зі змінами), за умови, що стосовно відповідного населеного пункту не визначено </w:t>
      </w:r>
      <w:r w:rsidR="00B25846" w:rsidRPr="00A74A9F">
        <w:t>дати припинення можливості бойових дій</w:t>
      </w:r>
      <w:r w:rsidR="00EC014B">
        <w:t> </w:t>
      </w:r>
      <w:r w:rsidR="00B25846" w:rsidRPr="00A74A9F">
        <w:t>/</w:t>
      </w:r>
      <w:r w:rsidR="00EC014B">
        <w:t> </w:t>
      </w:r>
      <w:r w:rsidR="0056526F" w:rsidRPr="00A74A9F">
        <w:t>дати завершення бойових дій</w:t>
      </w:r>
      <w:r w:rsidR="00EC014B">
        <w:t> </w:t>
      </w:r>
      <w:r w:rsidR="0056526F" w:rsidRPr="00A74A9F">
        <w:t>/</w:t>
      </w:r>
      <w:r w:rsidR="00EC014B">
        <w:t> </w:t>
      </w:r>
      <w:r w:rsidR="0056526F" w:rsidRPr="00A74A9F">
        <w:t xml:space="preserve">дати </w:t>
      </w:r>
      <w:r w:rsidR="00040AC3" w:rsidRPr="00A74A9F">
        <w:t>завершення тимчасової окупації.</w:t>
      </w:r>
    </w:p>
    <w:p w14:paraId="7BC9723D" w14:textId="0CB3FA4F" w:rsidR="00BA2098" w:rsidRPr="00A74A9F" w:rsidRDefault="00BA2098" w:rsidP="00734469">
      <w:pPr>
        <w:ind w:firstLine="567"/>
      </w:pPr>
      <w:r w:rsidRPr="00A74A9F">
        <w:t xml:space="preserve">Національний банк здійснює </w:t>
      </w:r>
      <w:r w:rsidR="00472006" w:rsidRPr="00A74A9F">
        <w:t xml:space="preserve">безвиїзний нагляд за </w:t>
      </w:r>
      <w:r w:rsidR="00FE60F0" w:rsidRPr="00A74A9F">
        <w:t xml:space="preserve">діяльністю таких учасників </w:t>
      </w:r>
      <w:r w:rsidR="00472006" w:rsidRPr="00A74A9F">
        <w:t>ринку небанківських фінансових послуг.</w:t>
      </w:r>
    </w:p>
    <w:p w14:paraId="1C1936AA" w14:textId="77777777" w:rsidR="00ED4DB2" w:rsidRPr="0098464A" w:rsidRDefault="00F96DA1">
      <w:pPr>
        <w:spacing w:after="200" w:line="276" w:lineRule="auto"/>
        <w:jc w:val="left"/>
      </w:pPr>
      <w:r w:rsidRPr="0098464A">
        <w:br w:type="page"/>
      </w:r>
    </w:p>
    <w:p w14:paraId="0E52C804" w14:textId="77777777" w:rsidR="00ED4DB2" w:rsidRPr="0098464A" w:rsidRDefault="00ED4DB2">
      <w:pPr>
        <w:spacing w:after="200" w:line="276" w:lineRule="auto"/>
        <w:jc w:val="left"/>
        <w:sectPr w:rsidR="00ED4DB2" w:rsidRPr="0098464A" w:rsidSect="00734469">
          <w:headerReference w:type="default" r:id="rId15"/>
          <w:pgSz w:w="11906" w:h="16838" w:code="9"/>
          <w:pgMar w:top="567" w:right="567" w:bottom="1701" w:left="1701" w:header="283" w:footer="709" w:gutter="0"/>
          <w:pgNumType w:start="1"/>
          <w:cols w:space="708"/>
          <w:titlePg/>
          <w:docGrid w:linePitch="381"/>
        </w:sectPr>
      </w:pPr>
    </w:p>
    <w:p w14:paraId="18CFF408" w14:textId="77777777" w:rsidR="00ED4DB2" w:rsidRPr="00D83ABD" w:rsidRDefault="00ED4DB2" w:rsidP="0051773E">
      <w:pPr>
        <w:pStyle w:val="af3"/>
        <w:ind w:left="9356"/>
      </w:pPr>
      <w:r w:rsidRPr="00D83ABD">
        <w:lastRenderedPageBreak/>
        <w:t>Додаток 1</w:t>
      </w:r>
    </w:p>
    <w:p w14:paraId="7CD1A1AE" w14:textId="59AEA105" w:rsidR="00ED4DB2" w:rsidRPr="0020517D" w:rsidRDefault="00ED4DB2" w:rsidP="0051773E">
      <w:pPr>
        <w:keepNext/>
        <w:ind w:left="9356"/>
        <w:outlineLvl w:val="2"/>
        <w:rPr>
          <w:bCs/>
          <w:color w:val="000000"/>
        </w:rPr>
      </w:pPr>
      <w:r w:rsidRPr="00D83ABD">
        <w:t xml:space="preserve">до </w:t>
      </w:r>
      <w:r w:rsidRPr="00D83ABD">
        <w:rPr>
          <w:bCs/>
          <w:color w:val="000000"/>
        </w:rPr>
        <w:t xml:space="preserve">Положення про встановлення критеріїв, за </w:t>
      </w:r>
      <w:r w:rsidRPr="00F85F31">
        <w:rPr>
          <w:bCs/>
        </w:rPr>
        <w:t xml:space="preserve">якими оцінюється ступінь ризику від здійснення діяльності учасниками ринку небанківських фінансових послуг, їх </w:t>
      </w:r>
      <w:r w:rsidR="00F436AF" w:rsidRPr="00F85F31">
        <w:rPr>
          <w:bCs/>
        </w:rPr>
        <w:t>суспільн</w:t>
      </w:r>
      <w:r w:rsidR="00F436AF">
        <w:rPr>
          <w:bCs/>
        </w:rPr>
        <w:t>а</w:t>
      </w:r>
      <w:r w:rsidR="00F436AF" w:rsidRPr="00F85F31">
        <w:rPr>
          <w:bCs/>
        </w:rPr>
        <w:t xml:space="preserve"> </w:t>
      </w:r>
      <w:r w:rsidRPr="00F85F31">
        <w:rPr>
          <w:bCs/>
        </w:rPr>
        <w:t>важливість</w:t>
      </w:r>
    </w:p>
    <w:p w14:paraId="11349B0E" w14:textId="2F16ADC6" w:rsidR="00ED4DB2" w:rsidRDefault="00ED4DB2" w:rsidP="0051773E">
      <w:pPr>
        <w:pStyle w:val="af3"/>
        <w:ind w:left="9356"/>
      </w:pPr>
      <w:r w:rsidRPr="00D83ABD">
        <w:t xml:space="preserve">(пункт </w:t>
      </w:r>
      <w:r w:rsidR="0063305B">
        <w:t>10</w:t>
      </w:r>
      <w:r w:rsidR="0063305B" w:rsidRPr="00D83ABD">
        <w:t xml:space="preserve"> </w:t>
      </w:r>
      <w:r w:rsidRPr="00D83ABD">
        <w:t>розділу II)</w:t>
      </w:r>
    </w:p>
    <w:p w14:paraId="1415587A" w14:textId="77777777" w:rsidR="0051773E" w:rsidRPr="0020517D" w:rsidRDefault="0051773E" w:rsidP="00ED4DB2">
      <w:pPr>
        <w:pStyle w:val="af3"/>
        <w:ind w:left="10490"/>
        <w:rPr>
          <w:bCs/>
          <w:color w:val="000000"/>
          <w:shd w:val="clear" w:color="auto" w:fill="FFFFFF"/>
        </w:rPr>
      </w:pPr>
    </w:p>
    <w:p w14:paraId="2A2D31E4" w14:textId="37BA5609" w:rsidR="00ED4DB2" w:rsidRDefault="00ED4DB2" w:rsidP="00ED4DB2">
      <w:pPr>
        <w:jc w:val="center"/>
        <w:rPr>
          <w:bCs/>
          <w:color w:val="000000"/>
          <w:shd w:val="clear" w:color="auto" w:fill="FFFFFF"/>
        </w:rPr>
      </w:pPr>
      <w:r w:rsidRPr="00D83ABD">
        <w:rPr>
          <w:bCs/>
          <w:color w:val="000000"/>
          <w:shd w:val="clear" w:color="auto" w:fill="FFFFFF"/>
        </w:rPr>
        <w:t>Критерії оцін</w:t>
      </w:r>
      <w:r>
        <w:rPr>
          <w:bCs/>
          <w:color w:val="000000"/>
          <w:shd w:val="clear" w:color="auto" w:fill="FFFFFF"/>
        </w:rPr>
        <w:t>ювання</w:t>
      </w:r>
      <w:r w:rsidRPr="00D83ABD">
        <w:rPr>
          <w:bCs/>
          <w:color w:val="000000"/>
          <w:shd w:val="clear" w:color="auto" w:fill="FFFFFF"/>
        </w:rPr>
        <w:t xml:space="preserve"> ступен</w:t>
      </w:r>
      <w:r>
        <w:rPr>
          <w:bCs/>
          <w:color w:val="000000"/>
          <w:shd w:val="clear" w:color="auto" w:fill="FFFFFF"/>
        </w:rPr>
        <w:t>я</w:t>
      </w:r>
      <w:r w:rsidRPr="00D83ABD">
        <w:rPr>
          <w:bCs/>
          <w:color w:val="000000"/>
          <w:shd w:val="clear" w:color="auto" w:fill="FFFFFF"/>
        </w:rPr>
        <w:t xml:space="preserve"> ризику страховика</w:t>
      </w:r>
    </w:p>
    <w:p w14:paraId="0283710A" w14:textId="77777777" w:rsidR="005F42EF" w:rsidRPr="00D83ABD" w:rsidRDefault="005F42EF" w:rsidP="00ED4DB2">
      <w:pPr>
        <w:jc w:val="center"/>
        <w:rPr>
          <w:bCs/>
          <w:color w:val="000000"/>
          <w:shd w:val="clear" w:color="auto" w:fill="FFFFFF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268"/>
        <w:gridCol w:w="2693"/>
        <w:gridCol w:w="2268"/>
        <w:gridCol w:w="2126"/>
        <w:gridCol w:w="1985"/>
        <w:gridCol w:w="1701"/>
      </w:tblGrid>
      <w:tr w:rsidR="00ED4DB2" w:rsidRPr="00D83ABD" w14:paraId="3CC47C05" w14:textId="77777777" w:rsidTr="00041B49">
        <w:trPr>
          <w:cantSplit/>
          <w:tblHeader/>
        </w:trPr>
        <w:tc>
          <w:tcPr>
            <w:tcW w:w="704" w:type="dxa"/>
            <w:vAlign w:val="center"/>
          </w:tcPr>
          <w:p w14:paraId="22DFCE73" w14:textId="77777777" w:rsidR="00ED4DB2" w:rsidRDefault="00ED4DB2" w:rsidP="00E20B0B">
            <w:pPr>
              <w:jc w:val="center"/>
            </w:pPr>
            <w:r w:rsidRPr="00D83ABD">
              <w:t>№</w:t>
            </w:r>
          </w:p>
          <w:p w14:paraId="7EFFC45A" w14:textId="77777777" w:rsidR="00ED4DB2" w:rsidRPr="00D83ABD" w:rsidRDefault="00ED4DB2" w:rsidP="00EA7323">
            <w:pPr>
              <w:jc w:val="center"/>
            </w:pPr>
            <w:r w:rsidRPr="00D83ABD">
              <w:t>з/п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1CA1D7" w14:textId="77777777" w:rsidR="00ED4DB2" w:rsidRDefault="00ED4DB2" w:rsidP="00041B49">
            <w:pPr>
              <w:ind w:left="-57"/>
              <w:jc w:val="center"/>
            </w:pPr>
            <w:r>
              <w:t>Но-мер</w:t>
            </w:r>
          </w:p>
          <w:p w14:paraId="2679735F" w14:textId="7FBDA729" w:rsidR="00ED4DB2" w:rsidRDefault="00ED4DB2" w:rsidP="00041B49">
            <w:pPr>
              <w:ind w:left="-113" w:right="-113"/>
              <w:jc w:val="center"/>
            </w:pPr>
            <w:r>
              <w:t>к</w:t>
            </w:r>
            <w:r w:rsidRPr="00D83ABD">
              <w:t>ри</w:t>
            </w:r>
            <w:r>
              <w:t>-</w:t>
            </w:r>
            <w:r w:rsidRPr="00D83ABD">
              <w:t>теріїв</w:t>
            </w:r>
            <w:r w:rsidR="00E850C2">
              <w:t> </w:t>
            </w:r>
            <w:r w:rsidRPr="00D83ABD">
              <w:t>/показ</w:t>
            </w:r>
            <w:r>
              <w:t>-</w:t>
            </w:r>
            <w:r w:rsidRPr="00D83ABD">
              <w:t>ників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FCCBB5" w14:textId="77777777" w:rsidR="00ED4DB2" w:rsidRPr="00D83ABD" w:rsidRDefault="00ED4DB2" w:rsidP="00EA7323">
            <w:pPr>
              <w:jc w:val="center"/>
            </w:pPr>
            <w:r w:rsidRPr="00D83ABD">
              <w:t>Назви критеріїв та їх показників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5AD58C" w14:textId="77777777" w:rsidR="00ED4DB2" w:rsidRDefault="00ED4DB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“1”</w:t>
            </w:r>
          </w:p>
          <w:p w14:paraId="5FBF44FB" w14:textId="77777777" w:rsidR="00ED4DB2" w:rsidRPr="00D83ABD" w:rsidRDefault="00ED4DB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(низький ступінь ризику)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443F1D" w14:textId="77777777" w:rsidR="00ED4DB2" w:rsidRDefault="00ED4DB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“2”</w:t>
            </w:r>
          </w:p>
          <w:p w14:paraId="5E360976" w14:textId="77777777" w:rsidR="00ED4DB2" w:rsidRPr="00D83ABD" w:rsidRDefault="00ED4DB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(середній ступінь ризику)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F770A3" w14:textId="77777777" w:rsidR="00ED4DB2" w:rsidRDefault="00ED4DB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“3”</w:t>
            </w:r>
          </w:p>
          <w:p w14:paraId="7FA8D63B" w14:textId="77777777" w:rsidR="00ED4DB2" w:rsidRPr="00D83ABD" w:rsidRDefault="00ED4DB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(високий ступінь ризику)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DCB0C2" w14:textId="77777777" w:rsidR="00ED4DB2" w:rsidRDefault="00ED4DB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“4”</w:t>
            </w:r>
          </w:p>
          <w:p w14:paraId="7975C60F" w14:textId="77777777" w:rsidR="00ED4DB2" w:rsidRPr="00D83ABD" w:rsidRDefault="00ED4DB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(критичний ступінь ризику)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C2782" w14:textId="6CB3165E" w:rsidR="00ED4DB2" w:rsidRPr="00D83ABD" w:rsidRDefault="00ED4DB2" w:rsidP="003B0FDF">
            <w:pPr>
              <w:ind w:left="-57" w:right="-57"/>
              <w:jc w:val="center"/>
              <w:rPr>
                <w:bCs/>
              </w:rPr>
            </w:pPr>
            <w:r w:rsidRPr="00D83ABD">
              <w:rPr>
                <w:bCs/>
              </w:rPr>
              <w:t>Вага критерію в ступені ризику</w:t>
            </w:r>
            <w:r w:rsidR="00F67474">
              <w:rPr>
                <w:bCs/>
              </w:rPr>
              <w:t> </w:t>
            </w:r>
            <w:r w:rsidRPr="00D83ABD">
              <w:rPr>
                <w:bCs/>
              </w:rPr>
              <w:t>/</w:t>
            </w:r>
            <w:r w:rsidR="00F67474">
              <w:rPr>
                <w:bCs/>
              </w:rPr>
              <w:t> </w:t>
            </w:r>
            <w:r>
              <w:rPr>
                <w:bCs/>
              </w:rPr>
              <w:t>в</w:t>
            </w:r>
            <w:r w:rsidRPr="00D83ABD">
              <w:rPr>
                <w:bCs/>
              </w:rPr>
              <w:t>ага показника в критерії, %</w:t>
            </w:r>
          </w:p>
        </w:tc>
      </w:tr>
    </w:tbl>
    <w:p w14:paraId="58D6A4D4" w14:textId="77777777" w:rsidR="00ED4DB2" w:rsidRPr="00D83ABD" w:rsidRDefault="00ED4DB2" w:rsidP="00ED4DB2">
      <w:pPr>
        <w:rPr>
          <w:sz w:val="2"/>
          <w:szCs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"/>
        <w:gridCol w:w="851"/>
        <w:gridCol w:w="2268"/>
        <w:gridCol w:w="2693"/>
        <w:gridCol w:w="2268"/>
        <w:gridCol w:w="2126"/>
        <w:gridCol w:w="1985"/>
        <w:gridCol w:w="1701"/>
      </w:tblGrid>
      <w:tr w:rsidR="00ED4DB2" w:rsidRPr="00D83ABD" w14:paraId="3B0F2E7A" w14:textId="77777777" w:rsidTr="003B0FDF">
        <w:trPr>
          <w:tblHeader/>
        </w:trPr>
        <w:tc>
          <w:tcPr>
            <w:tcW w:w="704" w:type="dxa"/>
          </w:tcPr>
          <w:p w14:paraId="3D7E5120" w14:textId="77777777" w:rsidR="00ED4DB2" w:rsidRPr="00D83ABD" w:rsidRDefault="00ED4DB2" w:rsidP="0020517D">
            <w:pPr>
              <w:jc w:val="center"/>
            </w:pPr>
            <w:r w:rsidRPr="00D83ABD">
              <w:t>1</w:t>
            </w:r>
          </w:p>
        </w:tc>
        <w:tc>
          <w:tcPr>
            <w:tcW w:w="851" w:type="dxa"/>
            <w:shd w:val="clear" w:color="auto" w:fill="auto"/>
          </w:tcPr>
          <w:p w14:paraId="31FB18FC" w14:textId="77777777" w:rsidR="00ED4DB2" w:rsidRPr="00D83ABD" w:rsidRDefault="00ED4DB2" w:rsidP="0020517D">
            <w:pPr>
              <w:jc w:val="center"/>
            </w:pPr>
            <w:r w:rsidRPr="00D83ABD">
              <w:t>2</w:t>
            </w:r>
          </w:p>
        </w:tc>
        <w:tc>
          <w:tcPr>
            <w:tcW w:w="2268" w:type="dxa"/>
            <w:shd w:val="clear" w:color="auto" w:fill="auto"/>
          </w:tcPr>
          <w:p w14:paraId="08FA45A8" w14:textId="77777777" w:rsidR="00ED4DB2" w:rsidRPr="00D83ABD" w:rsidRDefault="00ED4DB2" w:rsidP="0020517D">
            <w:pPr>
              <w:jc w:val="center"/>
            </w:pPr>
            <w:r w:rsidRPr="00D83ABD">
              <w:t>3</w:t>
            </w:r>
          </w:p>
        </w:tc>
        <w:tc>
          <w:tcPr>
            <w:tcW w:w="2693" w:type="dxa"/>
            <w:shd w:val="clear" w:color="auto" w:fill="auto"/>
          </w:tcPr>
          <w:p w14:paraId="044EE3CD" w14:textId="77777777" w:rsidR="00ED4DB2" w:rsidRPr="00D83ABD" w:rsidRDefault="00ED4DB2" w:rsidP="0020517D">
            <w:pPr>
              <w:jc w:val="center"/>
              <w:rPr>
                <w:bCs/>
              </w:rPr>
            </w:pPr>
            <w:r w:rsidRPr="00D83ABD">
              <w:rPr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6185D190" w14:textId="77777777" w:rsidR="00ED4DB2" w:rsidRPr="00D83ABD" w:rsidRDefault="00ED4DB2" w:rsidP="0020517D">
            <w:pPr>
              <w:jc w:val="center"/>
              <w:rPr>
                <w:bCs/>
              </w:rPr>
            </w:pPr>
            <w:r w:rsidRPr="00D83ABD">
              <w:rPr>
                <w:bCs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65C573F3" w14:textId="77777777" w:rsidR="00ED4DB2" w:rsidRPr="00D83ABD" w:rsidRDefault="00ED4DB2" w:rsidP="0020517D">
            <w:pPr>
              <w:jc w:val="center"/>
              <w:rPr>
                <w:bCs/>
              </w:rPr>
            </w:pPr>
            <w:r w:rsidRPr="00D83ABD">
              <w:rPr>
                <w:bCs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62FE2E08" w14:textId="77777777" w:rsidR="00ED4DB2" w:rsidRPr="00D83ABD" w:rsidRDefault="00ED4DB2" w:rsidP="0020517D">
            <w:pPr>
              <w:jc w:val="center"/>
              <w:rPr>
                <w:bCs/>
              </w:rPr>
            </w:pPr>
            <w:r w:rsidRPr="00D83ABD">
              <w:rPr>
                <w:b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14:paraId="4C38D34E" w14:textId="77777777" w:rsidR="00ED4DB2" w:rsidRPr="00D83ABD" w:rsidRDefault="00ED4DB2" w:rsidP="0020517D">
            <w:pPr>
              <w:jc w:val="center"/>
              <w:rPr>
                <w:bCs/>
              </w:rPr>
            </w:pPr>
            <w:r w:rsidRPr="00D83ABD">
              <w:rPr>
                <w:bCs/>
              </w:rPr>
              <w:t>8</w:t>
            </w:r>
          </w:p>
        </w:tc>
      </w:tr>
      <w:tr w:rsidR="00ED4DB2" w:rsidRPr="00D83ABD" w14:paraId="5DBE1F08" w14:textId="77777777" w:rsidTr="003B0FDF">
        <w:tc>
          <w:tcPr>
            <w:tcW w:w="704" w:type="dxa"/>
          </w:tcPr>
          <w:p w14:paraId="5076E1AD" w14:textId="77777777" w:rsidR="00ED4DB2" w:rsidRPr="00D83ABD" w:rsidRDefault="00ED4DB2" w:rsidP="0020517D">
            <w:pPr>
              <w:jc w:val="center"/>
            </w:pPr>
            <w:r w:rsidRPr="00D83ABD">
              <w:t>1</w:t>
            </w:r>
          </w:p>
        </w:tc>
        <w:tc>
          <w:tcPr>
            <w:tcW w:w="851" w:type="dxa"/>
            <w:shd w:val="clear" w:color="auto" w:fill="auto"/>
          </w:tcPr>
          <w:p w14:paraId="7BBC7E23" w14:textId="77777777" w:rsidR="00ED4DB2" w:rsidRPr="00D83ABD" w:rsidRDefault="00ED4DB2" w:rsidP="0020517D">
            <w:pPr>
              <w:jc w:val="center"/>
              <w:rPr>
                <w:color w:val="F2F2F2"/>
              </w:rPr>
            </w:pPr>
            <w:r w:rsidRPr="00D83ABD">
              <w:t>1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940122F" w14:textId="02A57F03" w:rsidR="00ED4DB2" w:rsidRPr="00D83ABD" w:rsidRDefault="00ED4DB2" w:rsidP="00675AAC">
            <w:pPr>
              <w:rPr>
                <w:bCs/>
                <w:color w:val="F2F2F2"/>
              </w:rPr>
            </w:pPr>
            <w:r w:rsidRPr="00D83ABD">
              <w:t>Стан</w:t>
            </w:r>
            <w:r w:rsidR="00B04785">
              <w:t xml:space="preserve"> </w:t>
            </w:r>
            <w:r w:rsidRPr="00D83ABD">
              <w:t>управління ризиками та внутрішнього контролю</w:t>
            </w:r>
          </w:p>
        </w:tc>
        <w:tc>
          <w:tcPr>
            <w:tcW w:w="1701" w:type="dxa"/>
            <w:shd w:val="clear" w:color="auto" w:fill="auto"/>
          </w:tcPr>
          <w:p w14:paraId="7A064626" w14:textId="77777777" w:rsidR="00ED4DB2" w:rsidRPr="00D83ABD" w:rsidRDefault="00ED4DB2" w:rsidP="0020517D">
            <w:pPr>
              <w:jc w:val="center"/>
              <w:rPr>
                <w:bCs/>
                <w:color w:val="F2F2F2"/>
              </w:rPr>
            </w:pPr>
            <w:r w:rsidRPr="00D83ABD">
              <w:rPr>
                <w:bCs/>
              </w:rPr>
              <w:t>15</w:t>
            </w:r>
          </w:p>
        </w:tc>
      </w:tr>
      <w:tr w:rsidR="00EB3BA1" w:rsidRPr="00D83ABD" w14:paraId="091B8F12" w14:textId="77777777" w:rsidTr="003B0FDF">
        <w:trPr>
          <w:trHeight w:val="227"/>
        </w:trPr>
        <w:tc>
          <w:tcPr>
            <w:tcW w:w="704" w:type="dxa"/>
          </w:tcPr>
          <w:p w14:paraId="61B9603A" w14:textId="77777777" w:rsidR="00EB3BA1" w:rsidRPr="00D83ABD" w:rsidRDefault="00EB3BA1" w:rsidP="0020517D">
            <w:pPr>
              <w:jc w:val="center"/>
            </w:pPr>
            <w:r w:rsidRPr="00D83ABD">
              <w:t>2</w:t>
            </w:r>
          </w:p>
        </w:tc>
        <w:tc>
          <w:tcPr>
            <w:tcW w:w="851" w:type="dxa"/>
          </w:tcPr>
          <w:p w14:paraId="1FAD879C" w14:textId="77777777" w:rsidR="00EB3BA1" w:rsidRPr="00D83ABD" w:rsidRDefault="00EB3BA1" w:rsidP="0020517D">
            <w:r w:rsidRPr="00D83ABD">
              <w:t>1.1</w:t>
            </w:r>
          </w:p>
        </w:tc>
        <w:tc>
          <w:tcPr>
            <w:tcW w:w="2268" w:type="dxa"/>
            <w:shd w:val="clear" w:color="auto" w:fill="auto"/>
          </w:tcPr>
          <w:p w14:paraId="5F382CC8" w14:textId="77777777" w:rsidR="00EB3BA1" w:rsidRPr="0077695F" w:rsidRDefault="00EB3BA1" w:rsidP="0020517D">
            <w:pPr>
              <w:rPr>
                <w:noProof/>
              </w:rPr>
            </w:pPr>
            <w:r w:rsidRPr="0077695F">
              <w:t>Виконання заходів впливу</w:t>
            </w:r>
          </w:p>
        </w:tc>
        <w:tc>
          <w:tcPr>
            <w:tcW w:w="2693" w:type="dxa"/>
            <w:shd w:val="clear" w:color="auto" w:fill="auto"/>
          </w:tcPr>
          <w:p w14:paraId="091AEEF1" w14:textId="472D94F8" w:rsidR="00EB3BA1" w:rsidRPr="0077695F" w:rsidRDefault="00EB3BA1" w:rsidP="004379BC">
            <w:pPr>
              <w:rPr>
                <w:noProof/>
              </w:rPr>
            </w:pPr>
            <w:r w:rsidRPr="0077695F">
              <w:t>Протягом періоду оцінювання до страховика не застосовувалися заходи впливу</w:t>
            </w:r>
          </w:p>
        </w:tc>
        <w:tc>
          <w:tcPr>
            <w:tcW w:w="2268" w:type="dxa"/>
            <w:shd w:val="clear" w:color="auto" w:fill="auto"/>
          </w:tcPr>
          <w:p w14:paraId="694D57CF" w14:textId="77777777" w:rsidR="00EB3BA1" w:rsidRPr="0077695F" w:rsidRDefault="00EB3BA1" w:rsidP="0020517D">
            <w:pPr>
              <w:rPr>
                <w:noProof/>
              </w:rPr>
            </w:pPr>
            <w:r w:rsidRPr="0077695F">
              <w:t>Протягом періоду оцінювання до страховика застосовано один захід впливу, який станом на дату оцінювання виконан</w:t>
            </w:r>
            <w:r>
              <w:t>о</w:t>
            </w:r>
            <w:r w:rsidRPr="0077695F">
              <w:t xml:space="preserve"> або строк виконання </w:t>
            </w:r>
            <w:r w:rsidRPr="0077695F">
              <w:lastRenderedPageBreak/>
              <w:t>за яким ще не настав</w:t>
            </w:r>
          </w:p>
        </w:tc>
        <w:tc>
          <w:tcPr>
            <w:tcW w:w="2126" w:type="dxa"/>
            <w:shd w:val="clear" w:color="auto" w:fill="auto"/>
          </w:tcPr>
          <w:p w14:paraId="572E8C3F" w14:textId="77777777" w:rsidR="00EB3BA1" w:rsidRPr="0077695F" w:rsidRDefault="00EB3BA1" w:rsidP="0020517D">
            <w:pPr>
              <w:rPr>
                <w:noProof/>
              </w:rPr>
            </w:pPr>
            <w:r w:rsidRPr="0077695F">
              <w:lastRenderedPageBreak/>
              <w:t>Протягом періоду оцінювання до страховика застосовано два і більше заходів впливу, які станом на дату оцінювання виконан</w:t>
            </w:r>
            <w:r>
              <w:t xml:space="preserve">о або строк </w:t>
            </w:r>
            <w:r>
              <w:lastRenderedPageBreak/>
              <w:t>виконання за якими ще не настав</w:t>
            </w:r>
          </w:p>
        </w:tc>
        <w:tc>
          <w:tcPr>
            <w:tcW w:w="1985" w:type="dxa"/>
            <w:shd w:val="clear" w:color="auto" w:fill="auto"/>
          </w:tcPr>
          <w:p w14:paraId="2FC723E1" w14:textId="09AF46A4" w:rsidR="00EB3BA1" w:rsidRPr="0077695F" w:rsidRDefault="00EB3BA1" w:rsidP="005E17F0">
            <w:pPr>
              <w:rPr>
                <w:noProof/>
              </w:rPr>
            </w:pPr>
            <w:r w:rsidRPr="0077695F">
              <w:lastRenderedPageBreak/>
              <w:t>Протягом періоду оцінювання до страховика застосовано один (або більше) захід</w:t>
            </w:r>
            <w:r w:rsidR="00E20B0B">
              <w:t xml:space="preserve"> (заходів)</w:t>
            </w:r>
            <w:r w:rsidRPr="0077695F">
              <w:t xml:space="preserve"> впливу, який</w:t>
            </w:r>
            <w:r w:rsidR="00E20B0B">
              <w:t xml:space="preserve"> (які)</w:t>
            </w:r>
            <w:r w:rsidRPr="0077695F">
              <w:t xml:space="preserve"> станом на дату </w:t>
            </w:r>
            <w:r w:rsidRPr="0077695F">
              <w:lastRenderedPageBreak/>
              <w:t>оцінювання не  виконан</w:t>
            </w:r>
            <w:r w:rsidR="005E17F0">
              <w:t>о</w:t>
            </w:r>
            <w:r w:rsidRPr="0077695F">
              <w:t xml:space="preserve"> </w:t>
            </w:r>
            <w:r w:rsidR="005E17F0">
              <w:t>в</w:t>
            </w:r>
            <w:r w:rsidRPr="0077695F">
              <w:t xml:space="preserve"> </w:t>
            </w:r>
            <w:r w:rsidR="005E17F0">
              <w:t>у</w:t>
            </w:r>
            <w:r w:rsidRPr="0077695F">
              <w:t>становлений строк</w:t>
            </w:r>
          </w:p>
        </w:tc>
        <w:tc>
          <w:tcPr>
            <w:tcW w:w="1701" w:type="dxa"/>
          </w:tcPr>
          <w:p w14:paraId="05B84429" w14:textId="65229851" w:rsidR="00EB3BA1" w:rsidRPr="0077695F" w:rsidRDefault="00D8192F" w:rsidP="0020517D">
            <w:pPr>
              <w:jc w:val="center"/>
              <w:rPr>
                <w:noProof/>
                <w:lang w:val="en-US"/>
              </w:rPr>
            </w:pPr>
            <w:r w:rsidRPr="0027082E">
              <w:rPr>
                <w:noProof/>
              </w:rPr>
              <w:lastRenderedPageBreak/>
              <w:t>40</w:t>
            </w:r>
          </w:p>
        </w:tc>
      </w:tr>
      <w:tr w:rsidR="00ED4DB2" w:rsidRPr="00D83ABD" w14:paraId="0AAC47C6" w14:textId="77777777" w:rsidTr="003B0FDF">
        <w:tc>
          <w:tcPr>
            <w:tcW w:w="704" w:type="dxa"/>
          </w:tcPr>
          <w:p w14:paraId="014C6588" w14:textId="77777777" w:rsidR="00ED4DB2" w:rsidRPr="00D83ABD" w:rsidRDefault="00ED4DB2" w:rsidP="0020517D">
            <w:pPr>
              <w:jc w:val="center"/>
            </w:pPr>
            <w:r w:rsidRPr="00D83ABD">
              <w:t>3</w:t>
            </w:r>
          </w:p>
        </w:tc>
        <w:tc>
          <w:tcPr>
            <w:tcW w:w="851" w:type="dxa"/>
          </w:tcPr>
          <w:p w14:paraId="6ADFCA86" w14:textId="77777777" w:rsidR="00ED4DB2" w:rsidRPr="00D83ABD" w:rsidRDefault="00ED4DB2" w:rsidP="0020517D">
            <w:r w:rsidRPr="00D83ABD">
              <w:t>1.2</w:t>
            </w:r>
          </w:p>
        </w:tc>
        <w:tc>
          <w:tcPr>
            <w:tcW w:w="2268" w:type="dxa"/>
          </w:tcPr>
          <w:p w14:paraId="266978C2" w14:textId="77777777" w:rsidR="00ED4DB2" w:rsidRPr="00D83ABD" w:rsidRDefault="00ED4DB2" w:rsidP="0020517D">
            <w:r w:rsidRPr="00D83ABD">
              <w:t>Результати зовнішнього аудиту</w:t>
            </w:r>
          </w:p>
        </w:tc>
        <w:tc>
          <w:tcPr>
            <w:tcW w:w="2693" w:type="dxa"/>
          </w:tcPr>
          <w:p w14:paraId="374A7614" w14:textId="77777777" w:rsidR="00ED4DB2" w:rsidRPr="00D83ABD" w:rsidRDefault="00ED4DB2" w:rsidP="0020517D">
            <w:r w:rsidRPr="00D83ABD">
              <w:t>Немодифікована думка</w:t>
            </w:r>
          </w:p>
        </w:tc>
        <w:tc>
          <w:tcPr>
            <w:tcW w:w="2268" w:type="dxa"/>
          </w:tcPr>
          <w:p w14:paraId="3EA0C1AC" w14:textId="77777777" w:rsidR="00ED4DB2" w:rsidRPr="00D83ABD" w:rsidRDefault="00ED4DB2" w:rsidP="0020517D">
            <w:r w:rsidRPr="00D83ABD">
              <w:t xml:space="preserve">Модифікована думка (із застереженням), але аудитором не зазначено щодо наявності сумнівів </w:t>
            </w:r>
            <w:r>
              <w:t>стосовн</w:t>
            </w:r>
            <w:r w:rsidRPr="00D83ABD">
              <w:t>о достовірності окремих показників звітності, оцін</w:t>
            </w:r>
            <w:r>
              <w:t>ювання</w:t>
            </w:r>
            <w:r w:rsidRPr="00D83ABD">
              <w:t xml:space="preserve"> вартості активів та зобов’язань або сумнівів щодо безперервності діяльності страховика </w:t>
            </w:r>
            <w:r>
              <w:t>в</w:t>
            </w:r>
            <w:r w:rsidRPr="00D83ABD">
              <w:t xml:space="preserve"> майбутньому </w:t>
            </w:r>
          </w:p>
        </w:tc>
        <w:tc>
          <w:tcPr>
            <w:tcW w:w="2126" w:type="dxa"/>
          </w:tcPr>
          <w:p w14:paraId="3832A63F" w14:textId="6CE2A2B3" w:rsidR="00ED4DB2" w:rsidRPr="00D83ABD" w:rsidRDefault="00ED4DB2" w:rsidP="0020517D">
            <w:r w:rsidRPr="00D83ABD">
              <w:t>Модифікована думка (із застережен</w:t>
            </w:r>
            <w:r>
              <w:t>-</w:t>
            </w:r>
            <w:r w:rsidRPr="00D83ABD">
              <w:t>ням). За результатами проведеного аудиту є сумніви щодо достовірності окремих показників звітності, оцін</w:t>
            </w:r>
            <w:r>
              <w:t>ювання</w:t>
            </w:r>
            <w:r w:rsidRPr="00D83ABD">
              <w:t xml:space="preserve"> вартості активів та зобов’язань або </w:t>
            </w:r>
            <w:r>
              <w:t>в</w:t>
            </w:r>
            <w:r w:rsidRPr="00D83ABD">
              <w:t xml:space="preserve"> аудитора є сумніви щодо безперервності діяльності страховика </w:t>
            </w:r>
            <w:r>
              <w:t>в</w:t>
            </w:r>
            <w:r w:rsidRPr="00D83ABD">
              <w:t xml:space="preserve"> майбутньому</w:t>
            </w:r>
          </w:p>
        </w:tc>
        <w:tc>
          <w:tcPr>
            <w:tcW w:w="1985" w:type="dxa"/>
          </w:tcPr>
          <w:p w14:paraId="0A2092A9" w14:textId="77777777" w:rsidR="00ED4DB2" w:rsidRPr="00D83ABD" w:rsidRDefault="00ED4DB2" w:rsidP="0020517D">
            <w:r w:rsidRPr="00D83ABD">
              <w:t>Модифікована думка (негативна або відмова від висловлення думки)</w:t>
            </w:r>
          </w:p>
        </w:tc>
        <w:tc>
          <w:tcPr>
            <w:tcW w:w="1701" w:type="dxa"/>
          </w:tcPr>
          <w:p w14:paraId="1EA713B8" w14:textId="334C7E5A" w:rsidR="00ED4DB2" w:rsidRPr="00D83ABD" w:rsidRDefault="000C473A" w:rsidP="0020517D">
            <w:pPr>
              <w:jc w:val="center"/>
              <w:rPr>
                <w:color w:val="000000"/>
              </w:rPr>
            </w:pPr>
            <w:r w:rsidRPr="0027082E">
              <w:rPr>
                <w:shd w:val="clear" w:color="auto" w:fill="FFFFFF"/>
                <w:lang w:eastAsia="ru-RU"/>
              </w:rPr>
              <w:t>30</w:t>
            </w:r>
          </w:p>
        </w:tc>
      </w:tr>
      <w:tr w:rsidR="00ED4DB2" w:rsidRPr="00D83ABD" w14:paraId="43341989" w14:textId="77777777" w:rsidTr="003B0FDF">
        <w:trPr>
          <w:trHeight w:val="988"/>
        </w:trPr>
        <w:tc>
          <w:tcPr>
            <w:tcW w:w="704" w:type="dxa"/>
          </w:tcPr>
          <w:p w14:paraId="0E4A26D0" w14:textId="77777777" w:rsidR="00ED4DB2" w:rsidRPr="00D83ABD" w:rsidRDefault="00ED4DB2" w:rsidP="0020517D">
            <w:pPr>
              <w:jc w:val="center"/>
            </w:pPr>
            <w:r w:rsidRPr="00D83ABD">
              <w:lastRenderedPageBreak/>
              <w:t>4</w:t>
            </w:r>
          </w:p>
        </w:tc>
        <w:tc>
          <w:tcPr>
            <w:tcW w:w="851" w:type="dxa"/>
          </w:tcPr>
          <w:p w14:paraId="4DBFAFA9" w14:textId="77777777" w:rsidR="00ED4DB2" w:rsidRPr="00D83ABD" w:rsidRDefault="00ED4DB2" w:rsidP="0020517D">
            <w:r w:rsidRPr="00D83ABD">
              <w:t>1.3</w:t>
            </w:r>
          </w:p>
        </w:tc>
        <w:tc>
          <w:tcPr>
            <w:tcW w:w="2268" w:type="dxa"/>
          </w:tcPr>
          <w:p w14:paraId="4DC2C5C7" w14:textId="7C002C89" w:rsidR="00ED4DB2" w:rsidRPr="0027082E" w:rsidRDefault="00ED4DB2" w:rsidP="00EC014B">
            <w:pPr>
              <w:rPr>
                <w:color w:val="FF0000"/>
              </w:rPr>
            </w:pPr>
            <w:r w:rsidRPr="0027082E">
              <w:rPr>
                <w:color w:val="000000"/>
              </w:rPr>
              <w:t xml:space="preserve">Подання </w:t>
            </w:r>
            <w:r w:rsidR="000C473A" w:rsidRPr="0027082E">
              <w:rPr>
                <w:color w:val="000000"/>
              </w:rPr>
              <w:t>файлів з показниками звітності</w:t>
            </w:r>
            <w:r w:rsidR="000C473A" w:rsidRPr="0027082E" w:rsidDel="000C473A">
              <w:rPr>
                <w:color w:val="000000"/>
              </w:rPr>
              <w:t xml:space="preserve"> </w:t>
            </w:r>
            <w:r w:rsidRPr="0027082E">
              <w:rPr>
                <w:color w:val="000000"/>
              </w:rPr>
              <w:t>та інших  документів</w:t>
            </w:r>
            <w:r w:rsidR="000C473A" w:rsidRPr="0027082E">
              <w:t xml:space="preserve">, передбачених </w:t>
            </w:r>
            <w:r w:rsidR="00EC014B">
              <w:t>для</w:t>
            </w:r>
            <w:r w:rsidR="000C473A" w:rsidRPr="0027082E">
              <w:t xml:space="preserve"> </w:t>
            </w:r>
            <w:r w:rsidR="006B405E">
              <w:t xml:space="preserve">періодичного </w:t>
            </w:r>
            <w:r w:rsidR="000C473A" w:rsidRPr="0027082E">
              <w:t xml:space="preserve">подання </w:t>
            </w:r>
          </w:p>
        </w:tc>
        <w:tc>
          <w:tcPr>
            <w:tcW w:w="2693" w:type="dxa"/>
          </w:tcPr>
          <w:p w14:paraId="442A45E6" w14:textId="1B5DE253" w:rsidR="00ED4DB2" w:rsidRPr="0027082E" w:rsidRDefault="00ED4DB2" w:rsidP="00EC014B">
            <w:pPr>
              <w:rPr>
                <w:color w:val="FF0000"/>
              </w:rPr>
            </w:pPr>
            <w:r w:rsidRPr="0027082E">
              <w:rPr>
                <w:shd w:val="clear" w:color="auto" w:fill="FFFFFF"/>
                <w:lang w:eastAsia="ru-RU"/>
              </w:rPr>
              <w:t>Протягом періоду оцінювання</w:t>
            </w:r>
            <w:r w:rsidRPr="0027082E">
              <w:t xml:space="preserve"> </w:t>
            </w:r>
            <w:r w:rsidR="000C473A" w:rsidRPr="0027082E">
              <w:t xml:space="preserve">файли з показниками звітності </w:t>
            </w:r>
            <w:r w:rsidRPr="0027082E">
              <w:t xml:space="preserve">та/або інші документи, передбачені </w:t>
            </w:r>
            <w:r w:rsidR="00EC014B">
              <w:t>для</w:t>
            </w:r>
            <w:r w:rsidRPr="0027082E">
              <w:t xml:space="preserve"> </w:t>
            </w:r>
            <w:r w:rsidR="006B405E">
              <w:t xml:space="preserve">періодичного </w:t>
            </w:r>
            <w:r w:rsidRPr="0027082E">
              <w:t>подання,</w:t>
            </w:r>
            <w:r w:rsidRPr="0027082E">
              <w:rPr>
                <w:color w:val="000000"/>
              </w:rPr>
              <w:t xml:space="preserve"> </w:t>
            </w:r>
            <w:r w:rsidRPr="0027082E">
              <w:t xml:space="preserve">подавалися </w:t>
            </w:r>
            <w:r w:rsidR="006B405E">
              <w:t xml:space="preserve">до </w:t>
            </w:r>
            <w:r w:rsidRPr="0027082E">
              <w:t>Національно</w:t>
            </w:r>
            <w:r w:rsidR="006B405E">
              <w:t>го</w:t>
            </w:r>
            <w:r w:rsidRPr="0027082E">
              <w:t xml:space="preserve"> банку вчасно </w:t>
            </w:r>
          </w:p>
        </w:tc>
        <w:tc>
          <w:tcPr>
            <w:tcW w:w="2268" w:type="dxa"/>
          </w:tcPr>
          <w:p w14:paraId="24C863E5" w14:textId="1FC74949" w:rsidR="00ED4DB2" w:rsidRPr="0027082E" w:rsidRDefault="00ED4DB2" w:rsidP="00A11770">
            <w:r w:rsidRPr="0027082E">
              <w:rPr>
                <w:shd w:val="clear" w:color="auto" w:fill="FFFFFF"/>
                <w:lang w:eastAsia="ru-RU"/>
              </w:rPr>
              <w:t>Протягом періоду оцінювання</w:t>
            </w:r>
            <w:r w:rsidRPr="0027082E">
              <w:t xml:space="preserve"> зафіксовано один факт несвоєчасного подання Національному банку </w:t>
            </w:r>
            <w:r w:rsidR="000C473A" w:rsidRPr="0027082E">
              <w:t xml:space="preserve">файлів з показниками звітності (та/або хоча б одного з них) </w:t>
            </w:r>
            <w:r w:rsidRPr="0027082E">
              <w:t xml:space="preserve">та/або інших документів, передбачених </w:t>
            </w:r>
            <w:r w:rsidR="00EC014B">
              <w:t>для</w:t>
            </w:r>
            <w:r w:rsidR="007E5679" w:rsidRPr="0027082E">
              <w:t xml:space="preserve"> </w:t>
            </w:r>
            <w:r w:rsidR="006B405E">
              <w:t xml:space="preserve">періодичного </w:t>
            </w:r>
            <w:r w:rsidR="007E5679" w:rsidRPr="0027082E">
              <w:t>подання</w:t>
            </w:r>
            <w:r w:rsidRPr="0027082E">
              <w:t xml:space="preserve"> </w:t>
            </w:r>
          </w:p>
        </w:tc>
        <w:tc>
          <w:tcPr>
            <w:tcW w:w="2126" w:type="dxa"/>
          </w:tcPr>
          <w:p w14:paraId="36AD0BC7" w14:textId="26FF0928" w:rsidR="00ED4DB2" w:rsidRPr="0027082E" w:rsidRDefault="00ED4DB2" w:rsidP="00A11770">
            <w:pPr>
              <w:rPr>
                <w:color w:val="FF0000"/>
              </w:rPr>
            </w:pPr>
            <w:r w:rsidRPr="0027082E">
              <w:rPr>
                <w:shd w:val="clear" w:color="auto" w:fill="FFFFFF"/>
                <w:lang w:eastAsia="ru-RU"/>
              </w:rPr>
              <w:t>Протягом періоду оцінювання</w:t>
            </w:r>
            <w:r w:rsidRPr="0027082E">
              <w:t xml:space="preserve"> зафіксовано два або більше фактів несвоєчасного подання Національному банку </w:t>
            </w:r>
            <w:r w:rsidR="000C473A" w:rsidRPr="0027082E">
              <w:t xml:space="preserve">файлів з показниками звітності (та/ або хоча б одного з них) </w:t>
            </w:r>
            <w:r w:rsidRPr="0027082E">
              <w:t xml:space="preserve">та/або інших документів, передбачених </w:t>
            </w:r>
            <w:r w:rsidR="00EC014B">
              <w:t>для</w:t>
            </w:r>
            <w:r w:rsidRPr="0027082E">
              <w:t xml:space="preserve"> </w:t>
            </w:r>
            <w:r w:rsidR="006B405E">
              <w:t xml:space="preserve">періодичного </w:t>
            </w:r>
            <w:r w:rsidR="007A4951" w:rsidRPr="0027082E">
              <w:t xml:space="preserve">подання </w:t>
            </w:r>
          </w:p>
        </w:tc>
        <w:tc>
          <w:tcPr>
            <w:tcW w:w="1985" w:type="dxa"/>
          </w:tcPr>
          <w:p w14:paraId="27A9A4FD" w14:textId="5B3CE049" w:rsidR="00ED4DB2" w:rsidRPr="0027082E" w:rsidRDefault="00ED4DB2" w:rsidP="00666830">
            <w:pPr>
              <w:tabs>
                <w:tab w:val="left" w:pos="6145"/>
              </w:tabs>
              <w:ind w:right="66"/>
              <w:rPr>
                <w:color w:val="FF0000"/>
              </w:rPr>
            </w:pPr>
            <w:r w:rsidRPr="0027082E">
              <w:rPr>
                <w:shd w:val="clear" w:color="auto" w:fill="FFFFFF"/>
                <w:lang w:eastAsia="ru-RU"/>
              </w:rPr>
              <w:t>Протягом періоду оцінювання</w:t>
            </w:r>
            <w:r w:rsidRPr="0027082E">
              <w:t xml:space="preserve"> зафіксовано один або більше фактів неповного подання</w:t>
            </w:r>
            <w:r w:rsidR="00971DC6">
              <w:t> </w:t>
            </w:r>
            <w:r w:rsidRPr="0027082E">
              <w:t>/</w:t>
            </w:r>
            <w:r w:rsidR="00971DC6">
              <w:t> </w:t>
            </w:r>
            <w:r w:rsidRPr="0027082E">
              <w:t xml:space="preserve">не-подання Національно-му банку інших документів, передбачених </w:t>
            </w:r>
            <w:r w:rsidR="00EC014B">
              <w:t>для</w:t>
            </w:r>
            <w:r w:rsidR="007A4951" w:rsidRPr="0027082E">
              <w:t xml:space="preserve"> </w:t>
            </w:r>
            <w:r w:rsidR="009E54C6">
              <w:t xml:space="preserve">періодичного </w:t>
            </w:r>
            <w:r w:rsidR="007A4951" w:rsidRPr="0027082E">
              <w:t xml:space="preserve">подання </w:t>
            </w:r>
            <w:r w:rsidR="000C473A" w:rsidRPr="0027082E">
              <w:t>(</w:t>
            </w:r>
            <w:r w:rsidR="00666830">
              <w:t>крім</w:t>
            </w:r>
            <w:r w:rsidR="000C473A" w:rsidRPr="0027082E">
              <w:t xml:space="preserve"> файлів з показниками</w:t>
            </w:r>
            <w:r w:rsidRPr="0027082E">
              <w:t xml:space="preserve"> звітності</w:t>
            </w:r>
            <w:r w:rsidR="00CD7BA0" w:rsidRPr="0027082E">
              <w:t xml:space="preserve">, </w:t>
            </w:r>
            <w:r w:rsidRPr="0027082E">
              <w:t xml:space="preserve">аудиторсько-го звіту щодо проведення обов’язкового аудиту фінансової </w:t>
            </w:r>
            <w:r w:rsidRPr="0027082E">
              <w:lastRenderedPageBreak/>
              <w:t>звітності та консолідова-ної фінансової звітності та/або звіту про надання впевненості щодо річних звітних даних</w:t>
            </w:r>
            <w:r w:rsidR="000C473A" w:rsidRPr="0027082E">
              <w:t>)</w:t>
            </w:r>
          </w:p>
        </w:tc>
        <w:tc>
          <w:tcPr>
            <w:tcW w:w="1701" w:type="dxa"/>
          </w:tcPr>
          <w:p w14:paraId="322B53A1" w14:textId="0871B9EF" w:rsidR="00ED4DB2" w:rsidRPr="0027082E" w:rsidRDefault="000C473A" w:rsidP="0020517D">
            <w:pPr>
              <w:jc w:val="center"/>
              <w:rPr>
                <w:color w:val="FF0000"/>
              </w:rPr>
            </w:pPr>
            <w:r w:rsidRPr="0027082E">
              <w:rPr>
                <w:shd w:val="clear" w:color="auto" w:fill="FFFFFF"/>
                <w:lang w:eastAsia="ru-RU"/>
              </w:rPr>
              <w:lastRenderedPageBreak/>
              <w:t>10</w:t>
            </w:r>
          </w:p>
        </w:tc>
      </w:tr>
      <w:tr w:rsidR="00EB3BA1" w:rsidRPr="00D83ABD" w14:paraId="7AE0FAB6" w14:textId="77777777" w:rsidTr="003B0FDF">
        <w:tc>
          <w:tcPr>
            <w:tcW w:w="704" w:type="dxa"/>
          </w:tcPr>
          <w:p w14:paraId="40C472A3" w14:textId="77777777" w:rsidR="00EB3BA1" w:rsidRPr="00D83ABD" w:rsidRDefault="00EB3BA1" w:rsidP="0020517D">
            <w:pPr>
              <w:jc w:val="center"/>
            </w:pPr>
            <w:r w:rsidRPr="00D83ABD">
              <w:t>5</w:t>
            </w:r>
          </w:p>
        </w:tc>
        <w:tc>
          <w:tcPr>
            <w:tcW w:w="851" w:type="dxa"/>
          </w:tcPr>
          <w:p w14:paraId="4B6EB733" w14:textId="77777777" w:rsidR="00EB3BA1" w:rsidRPr="00D83ABD" w:rsidRDefault="00EB3BA1" w:rsidP="0020517D">
            <w:r w:rsidRPr="00D83ABD">
              <w:t>1.4</w:t>
            </w:r>
          </w:p>
        </w:tc>
        <w:tc>
          <w:tcPr>
            <w:tcW w:w="2268" w:type="dxa"/>
          </w:tcPr>
          <w:p w14:paraId="7176ED26" w14:textId="77777777" w:rsidR="00EB3BA1" w:rsidRPr="0077695F" w:rsidRDefault="00EB3BA1" w:rsidP="0020517D">
            <w:pPr>
              <w:rPr>
                <w:noProof/>
              </w:rPr>
            </w:pPr>
            <w:r w:rsidRPr="0077695F">
              <w:t>Наявність в актуарному звіті за попередній рік інформації про адекватність формування страхових резервів (для страховиків, що мають подавати актуарний звіт)</w:t>
            </w:r>
          </w:p>
        </w:tc>
        <w:tc>
          <w:tcPr>
            <w:tcW w:w="2693" w:type="dxa"/>
          </w:tcPr>
          <w:p w14:paraId="7A74D1E6" w14:textId="77777777" w:rsidR="00EB3BA1" w:rsidRPr="0077695F" w:rsidRDefault="00EB3BA1" w:rsidP="0020517D">
            <w:pPr>
              <w:rPr>
                <w:noProof/>
              </w:rPr>
            </w:pPr>
            <w:r w:rsidRPr="0077695F">
              <w:t>Актуарієм, який склав та підписав такий актуарний звіт, підтверджено в повній мірі достатність та адекватність сформованих страхових резервів, немає рекомендації щодо методики формування окремих видів резервів</w:t>
            </w:r>
          </w:p>
        </w:tc>
        <w:tc>
          <w:tcPr>
            <w:tcW w:w="2268" w:type="dxa"/>
          </w:tcPr>
          <w:p w14:paraId="6EA55193" w14:textId="77777777" w:rsidR="00EB3BA1" w:rsidRPr="0027082E" w:rsidRDefault="00EB3BA1" w:rsidP="0020517D">
            <w:r w:rsidRPr="0027082E">
              <w:t xml:space="preserve">Актуарієм, який склав та підписав такий актуарний звіт, підтверджено в повній мірі достатність та адекватність сформованих страхових резервів, але актуарієм надано рекомендації щодо зміни методики </w:t>
            </w:r>
            <w:r w:rsidRPr="0027082E">
              <w:lastRenderedPageBreak/>
              <w:t>формування окремих видів резервів</w:t>
            </w:r>
          </w:p>
        </w:tc>
        <w:tc>
          <w:tcPr>
            <w:tcW w:w="2126" w:type="dxa"/>
          </w:tcPr>
          <w:p w14:paraId="57375954" w14:textId="77777777" w:rsidR="00EB3BA1" w:rsidRPr="0027082E" w:rsidRDefault="00EB3BA1" w:rsidP="0020517D">
            <w:pPr>
              <w:rPr>
                <w:noProof/>
              </w:rPr>
            </w:pPr>
            <w:r w:rsidRPr="0027082E">
              <w:lastRenderedPageBreak/>
              <w:t xml:space="preserve">Актуарієм, який склав та підписав такий актуарний звіт, виявлено недостатність формування резервів за окремим видом страхування, але актуарієм підтверджено в повній мірі достатність та адекватність </w:t>
            </w:r>
            <w:r w:rsidRPr="0027082E">
              <w:lastRenderedPageBreak/>
              <w:t>сформованих страхових резервів (сукупних), актуарієм надано рекомендації щодо зміни методики формування окремих видів резервів у зв’язку з неможливістю її використання</w:t>
            </w:r>
          </w:p>
        </w:tc>
        <w:tc>
          <w:tcPr>
            <w:tcW w:w="1985" w:type="dxa"/>
          </w:tcPr>
          <w:p w14:paraId="016ADF22" w14:textId="77777777" w:rsidR="00EB3BA1" w:rsidRPr="0027082E" w:rsidRDefault="00EB3BA1" w:rsidP="0020517D">
            <w:pPr>
              <w:rPr>
                <w:noProof/>
              </w:rPr>
            </w:pPr>
            <w:r w:rsidRPr="0027082E">
              <w:lastRenderedPageBreak/>
              <w:t xml:space="preserve">Актуарієм, який склав та підписав такий актуарний звіт,  виявлено недостатність формування резервів за окремими видами страхування та встановлено факт </w:t>
            </w:r>
            <w:r w:rsidRPr="0027082E">
              <w:lastRenderedPageBreak/>
              <w:t>недоформу-вання страхових резервів (сукупних) або є факт неподання страховиком актуарного звіту за попередній рік</w:t>
            </w:r>
          </w:p>
        </w:tc>
        <w:tc>
          <w:tcPr>
            <w:tcW w:w="1701" w:type="dxa"/>
          </w:tcPr>
          <w:p w14:paraId="7BFED93D" w14:textId="5F079239" w:rsidR="00EB3BA1" w:rsidRPr="0027082E" w:rsidRDefault="00711E4E" w:rsidP="0020517D">
            <w:pPr>
              <w:jc w:val="center"/>
              <w:rPr>
                <w:noProof/>
              </w:rPr>
            </w:pPr>
            <w:r w:rsidRPr="0027082E">
              <w:rPr>
                <w:noProof/>
              </w:rPr>
              <w:lastRenderedPageBreak/>
              <w:t>20</w:t>
            </w:r>
          </w:p>
        </w:tc>
      </w:tr>
      <w:tr w:rsidR="00ED4DB2" w:rsidRPr="00D83ABD" w14:paraId="19EBD5CE" w14:textId="77777777" w:rsidTr="003B0FDF">
        <w:tc>
          <w:tcPr>
            <w:tcW w:w="704" w:type="dxa"/>
          </w:tcPr>
          <w:p w14:paraId="69E2CE93" w14:textId="5FDE3A97" w:rsidR="00ED4DB2" w:rsidRPr="00D83ABD" w:rsidRDefault="008F3E37" w:rsidP="0020517D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14:paraId="3D1BDCEE" w14:textId="77777777" w:rsidR="00ED4DB2" w:rsidRPr="00D83ABD" w:rsidRDefault="00ED4DB2" w:rsidP="0020517D">
            <w:r w:rsidRPr="00D83ABD">
              <w:t>2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0F77624" w14:textId="77777777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t>Показники діяльності</w:t>
            </w:r>
          </w:p>
        </w:tc>
        <w:tc>
          <w:tcPr>
            <w:tcW w:w="1701" w:type="dxa"/>
            <w:shd w:val="clear" w:color="auto" w:fill="auto"/>
          </w:tcPr>
          <w:p w14:paraId="607C418E" w14:textId="77777777" w:rsidR="00ED4DB2" w:rsidRPr="00D83ABD" w:rsidRDefault="00ED4DB2" w:rsidP="0020517D">
            <w:pPr>
              <w:jc w:val="center"/>
              <w:rPr>
                <w:bCs/>
              </w:rPr>
            </w:pPr>
            <w:r w:rsidRPr="00D83ABD">
              <w:rPr>
                <w:bCs/>
              </w:rPr>
              <w:t>35</w:t>
            </w:r>
          </w:p>
        </w:tc>
      </w:tr>
      <w:tr w:rsidR="00ED4DB2" w:rsidRPr="00D83ABD" w14:paraId="1B79CC6B" w14:textId="77777777" w:rsidTr="003B0FDF">
        <w:tc>
          <w:tcPr>
            <w:tcW w:w="704" w:type="dxa"/>
          </w:tcPr>
          <w:p w14:paraId="5A5F6EC7" w14:textId="1FBB2E7F" w:rsidR="00ED4DB2" w:rsidRPr="00D83ABD" w:rsidRDefault="004215FE" w:rsidP="0020517D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14:paraId="1A29C14E" w14:textId="0635AF1A" w:rsidR="00ED4DB2" w:rsidRPr="00D83ABD" w:rsidRDefault="00ED4DB2" w:rsidP="0020517D">
            <w:r w:rsidRPr="00D83ABD">
              <w:t>2.</w:t>
            </w:r>
            <w:r w:rsidR="004215FE">
              <w:t>1</w:t>
            </w:r>
          </w:p>
        </w:tc>
        <w:tc>
          <w:tcPr>
            <w:tcW w:w="2268" w:type="dxa"/>
          </w:tcPr>
          <w:p w14:paraId="4EE98E39" w14:textId="77777777" w:rsidR="00ED4DB2" w:rsidRPr="00D83ABD" w:rsidRDefault="00ED4DB2" w:rsidP="0020517D">
            <w:r w:rsidRPr="00D83ABD">
              <w:t>Рівень вхідного перестрахування</w:t>
            </w:r>
          </w:p>
          <w:p w14:paraId="71020615" w14:textId="77777777" w:rsidR="00ED4DB2" w:rsidRPr="00D83ABD" w:rsidRDefault="00ED4DB2" w:rsidP="0020517D"/>
          <w:p w14:paraId="75B04A9D" w14:textId="77777777" w:rsidR="00ED4DB2" w:rsidRPr="00D83ABD" w:rsidRDefault="00ED4DB2" w:rsidP="0020517D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072B53F6" w14:textId="77777777" w:rsidR="00ED4DB2" w:rsidRPr="00F85F31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85F31">
              <w:rPr>
                <w:sz w:val="28"/>
                <w:szCs w:val="28"/>
                <w:shd w:val="clear" w:color="auto" w:fill="FFFFFF"/>
                <w:lang w:val="uk-UA"/>
              </w:rPr>
              <w:t xml:space="preserve">Співвідношення  нарахованих страхових платежів від перестрахувальни-ків за період оцінювання відповідно до звітних даних страховика і </w:t>
            </w:r>
            <w:r w:rsidRPr="00F85F31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загальних нарахованих страхових платежів за аналогічний період (рівень вхідного перестрахування) становить до 20% включно</w:t>
            </w:r>
          </w:p>
        </w:tc>
        <w:tc>
          <w:tcPr>
            <w:tcW w:w="2268" w:type="dxa"/>
          </w:tcPr>
          <w:p w14:paraId="2440BFA3" w14:textId="77777777" w:rsidR="00ED4DB2" w:rsidRPr="00F85F31" w:rsidRDefault="00ED4DB2" w:rsidP="0020517D">
            <w:pPr>
              <w:rPr>
                <w:bCs/>
              </w:rPr>
            </w:pPr>
            <w:r w:rsidRPr="00F85F31">
              <w:rPr>
                <w:shd w:val="clear" w:color="auto" w:fill="FFFFFF"/>
              </w:rPr>
              <w:lastRenderedPageBreak/>
              <w:t xml:space="preserve">Співвідношення нарахованих страхових платежів від перестрахуваль-ників за період оцінювання відповідно до звітних даних страховика і </w:t>
            </w:r>
            <w:r w:rsidRPr="00F85F31">
              <w:rPr>
                <w:shd w:val="clear" w:color="auto" w:fill="FFFFFF"/>
              </w:rPr>
              <w:lastRenderedPageBreak/>
              <w:t>загальних нарахованих сум страхових платежів за аналогічний період (рівень вхідного перестрахуван-ня) становить від 21% до 40% включно</w:t>
            </w:r>
          </w:p>
        </w:tc>
        <w:tc>
          <w:tcPr>
            <w:tcW w:w="2126" w:type="dxa"/>
          </w:tcPr>
          <w:p w14:paraId="63049DB0" w14:textId="77777777" w:rsidR="00ED4DB2" w:rsidRPr="00F85F31" w:rsidRDefault="00ED4DB2" w:rsidP="0020517D">
            <w:r w:rsidRPr="00F85F31">
              <w:rPr>
                <w:shd w:val="clear" w:color="auto" w:fill="FFFFFF"/>
              </w:rPr>
              <w:lastRenderedPageBreak/>
              <w:t xml:space="preserve">Співвідношен-ня нарахованих страхових платежів від перестрахува-льників за період </w:t>
            </w:r>
            <w:r w:rsidRPr="00F85F31">
              <w:rPr>
                <w:bCs/>
                <w:shd w:val="clear" w:color="auto" w:fill="FFFFFF"/>
              </w:rPr>
              <w:t>оцінювання</w:t>
            </w:r>
            <w:r w:rsidRPr="00F85F31">
              <w:rPr>
                <w:shd w:val="clear" w:color="auto" w:fill="FFFFFF"/>
              </w:rPr>
              <w:t xml:space="preserve"> відповідно до звітних даних </w:t>
            </w:r>
            <w:r w:rsidRPr="00F85F31">
              <w:rPr>
                <w:shd w:val="clear" w:color="auto" w:fill="FFFFFF"/>
              </w:rPr>
              <w:lastRenderedPageBreak/>
              <w:t>страховика і загальних нарахованих сум страхових платежів за аналогічний період (рівень вхідного перестрахуван-ня) становить від 41% до 60% включно</w:t>
            </w:r>
          </w:p>
        </w:tc>
        <w:tc>
          <w:tcPr>
            <w:tcW w:w="1985" w:type="dxa"/>
          </w:tcPr>
          <w:p w14:paraId="43226219" w14:textId="77777777" w:rsidR="00ED4DB2" w:rsidRPr="00F85F31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F85F31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Співвідно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br/>
            </w:r>
            <w:r w:rsidRPr="00F85F31">
              <w:rPr>
                <w:sz w:val="28"/>
                <w:szCs w:val="28"/>
                <w:shd w:val="clear" w:color="auto" w:fill="FFFFFF"/>
                <w:lang w:val="uk-UA"/>
              </w:rPr>
              <w:t xml:space="preserve">шення нарахованих страхових платежів від перестраху-вальників за період оцінювання відповідно до </w:t>
            </w:r>
            <w:r w:rsidRPr="00F85F31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звітних даних страховика і загальних нарахованих сум страхових платежів за аналогічний період (рівень вхідного перестраху-вання) становить понад 60%</w:t>
            </w:r>
          </w:p>
        </w:tc>
        <w:tc>
          <w:tcPr>
            <w:tcW w:w="1701" w:type="dxa"/>
          </w:tcPr>
          <w:p w14:paraId="191A27E9" w14:textId="6DB1C739" w:rsidR="00ED4DB2" w:rsidRPr="00D83ABD" w:rsidRDefault="00711E4E" w:rsidP="0020517D">
            <w:pPr>
              <w:jc w:val="center"/>
              <w:rPr>
                <w:bCs/>
              </w:rPr>
            </w:pPr>
            <w:r w:rsidRPr="0027082E">
              <w:rPr>
                <w:bCs/>
              </w:rPr>
              <w:lastRenderedPageBreak/>
              <w:t>21</w:t>
            </w:r>
          </w:p>
        </w:tc>
      </w:tr>
      <w:tr w:rsidR="00ED4DB2" w:rsidRPr="00D83ABD" w14:paraId="0D133BDF" w14:textId="77777777" w:rsidTr="003B0FDF">
        <w:tc>
          <w:tcPr>
            <w:tcW w:w="704" w:type="dxa"/>
          </w:tcPr>
          <w:p w14:paraId="2AA3F63F" w14:textId="4A35DEAF" w:rsidR="00ED4DB2" w:rsidRPr="00D83ABD" w:rsidRDefault="004215FE" w:rsidP="0020517D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6F2A8C66" w14:textId="166A45B5" w:rsidR="00ED4DB2" w:rsidRPr="00D83ABD" w:rsidRDefault="00ED4DB2" w:rsidP="0020517D">
            <w:r w:rsidRPr="00D83ABD">
              <w:t>2.</w:t>
            </w:r>
            <w:r w:rsidR="004215FE">
              <w:t>2</w:t>
            </w:r>
          </w:p>
        </w:tc>
        <w:tc>
          <w:tcPr>
            <w:tcW w:w="2268" w:type="dxa"/>
          </w:tcPr>
          <w:p w14:paraId="4E592A20" w14:textId="77777777" w:rsidR="00ED4DB2" w:rsidRPr="00D83ABD" w:rsidRDefault="00ED4DB2" w:rsidP="0020517D">
            <w:r w:rsidRPr="00D83ABD">
              <w:t>Рівень вихідного перестрахування</w:t>
            </w:r>
          </w:p>
          <w:p w14:paraId="4DB1FE3E" w14:textId="77777777" w:rsidR="00ED4DB2" w:rsidRPr="00D83ABD" w:rsidRDefault="00ED4DB2" w:rsidP="0020517D"/>
          <w:p w14:paraId="40736A96" w14:textId="77777777" w:rsidR="00ED4DB2" w:rsidRPr="00D83ABD" w:rsidRDefault="00ED4DB2" w:rsidP="0020517D"/>
        </w:tc>
        <w:tc>
          <w:tcPr>
            <w:tcW w:w="2693" w:type="dxa"/>
          </w:tcPr>
          <w:p w14:paraId="26CCE312" w14:textId="6E41FAD8" w:rsidR="00ED4DB2" w:rsidRPr="00F85F31" w:rsidRDefault="00ED4DB2" w:rsidP="006A2025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85F31">
              <w:rPr>
                <w:sz w:val="28"/>
                <w:szCs w:val="28"/>
                <w:shd w:val="clear" w:color="auto" w:fill="FFFFFF"/>
                <w:lang w:val="uk-UA"/>
              </w:rPr>
              <w:t xml:space="preserve">Співвідношення нарахованих страхових платежів, належних перестраховикам, за період оцінювання відповідно до  звітних даних страховика і загальних нарахованих сум страхових платежів за аналогічний </w:t>
            </w:r>
            <w:r w:rsidRPr="00F85F31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період становить до 20% включно</w:t>
            </w:r>
          </w:p>
        </w:tc>
        <w:tc>
          <w:tcPr>
            <w:tcW w:w="2268" w:type="dxa"/>
          </w:tcPr>
          <w:p w14:paraId="1D2FF691" w14:textId="77777777" w:rsidR="00ED4DB2" w:rsidRPr="00F85F31" w:rsidRDefault="00ED4DB2" w:rsidP="0020517D">
            <w:pPr>
              <w:rPr>
                <w:shd w:val="clear" w:color="auto" w:fill="FFFFFF"/>
              </w:rPr>
            </w:pPr>
            <w:r w:rsidRPr="00F85F31">
              <w:rPr>
                <w:shd w:val="clear" w:color="auto" w:fill="FFFFFF"/>
              </w:rPr>
              <w:lastRenderedPageBreak/>
              <w:t xml:space="preserve">Співвідношення нарахованих страхових платежів, належних перестрахови-кам, за період оцінювання відповідно до звітних даних страховика і загальних нарахованих сум </w:t>
            </w:r>
            <w:r w:rsidRPr="00F85F31">
              <w:rPr>
                <w:shd w:val="clear" w:color="auto" w:fill="FFFFFF"/>
              </w:rPr>
              <w:lastRenderedPageBreak/>
              <w:t>страхових платежів за аналогічний період становить від 21% до 40% включно</w:t>
            </w:r>
          </w:p>
        </w:tc>
        <w:tc>
          <w:tcPr>
            <w:tcW w:w="2126" w:type="dxa"/>
          </w:tcPr>
          <w:p w14:paraId="5412E806" w14:textId="77777777" w:rsidR="00ED4DB2" w:rsidRPr="00F85F31" w:rsidRDefault="00ED4DB2" w:rsidP="0020517D">
            <w:pPr>
              <w:rPr>
                <w:shd w:val="clear" w:color="auto" w:fill="FFFFFF"/>
              </w:rPr>
            </w:pPr>
            <w:r w:rsidRPr="00F85F31">
              <w:rPr>
                <w:shd w:val="clear" w:color="auto" w:fill="FFFFFF"/>
              </w:rPr>
              <w:lastRenderedPageBreak/>
              <w:t xml:space="preserve">Співвідношен-ня нарахованих страхових платежів, належних перестрахови-кам, за період  оцінювання відповідно до звітних даних страховика і загальних нарахованих </w:t>
            </w:r>
            <w:r w:rsidRPr="00F85F31">
              <w:rPr>
                <w:shd w:val="clear" w:color="auto" w:fill="FFFFFF"/>
              </w:rPr>
              <w:lastRenderedPageBreak/>
              <w:t>сум страхових платежів за аналогічний період становить від 41% до 60% включно</w:t>
            </w:r>
          </w:p>
        </w:tc>
        <w:tc>
          <w:tcPr>
            <w:tcW w:w="1985" w:type="dxa"/>
          </w:tcPr>
          <w:p w14:paraId="745C15BA" w14:textId="77777777" w:rsidR="00ED4DB2" w:rsidRPr="00F85F31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F85F31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Співвідно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br/>
            </w:r>
            <w:r w:rsidRPr="00F85F31">
              <w:rPr>
                <w:sz w:val="28"/>
                <w:szCs w:val="28"/>
                <w:shd w:val="clear" w:color="auto" w:fill="FFFFFF"/>
                <w:lang w:val="uk-UA"/>
              </w:rPr>
              <w:t xml:space="preserve">шення нарахованих  страхових платежів, належних перестрахови-кам, за період </w:t>
            </w:r>
            <w:r w:rsidRPr="00F85F31">
              <w:rPr>
                <w:bCs/>
                <w:sz w:val="28"/>
                <w:szCs w:val="28"/>
                <w:shd w:val="clear" w:color="auto" w:fill="FFFFFF"/>
              </w:rPr>
              <w:t>оцінювання</w:t>
            </w:r>
            <w:r w:rsidRPr="00F85F31" w:rsidDel="00A43B4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85F31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звітних даних страховика і загальних </w:t>
            </w:r>
            <w:r w:rsidRPr="00F85F31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нарахованих сум страхових платежів за аналогічний період становить понад 60%</w:t>
            </w:r>
          </w:p>
        </w:tc>
        <w:tc>
          <w:tcPr>
            <w:tcW w:w="1701" w:type="dxa"/>
          </w:tcPr>
          <w:p w14:paraId="0BBA81D3" w14:textId="4164BD66" w:rsidR="00ED4DB2" w:rsidRPr="00D83ABD" w:rsidRDefault="00711E4E" w:rsidP="0020517D">
            <w:pPr>
              <w:jc w:val="center"/>
              <w:rPr>
                <w:bCs/>
              </w:rPr>
            </w:pPr>
            <w:r w:rsidRPr="0027082E">
              <w:rPr>
                <w:bCs/>
              </w:rPr>
              <w:lastRenderedPageBreak/>
              <w:t>21</w:t>
            </w:r>
          </w:p>
        </w:tc>
      </w:tr>
      <w:tr w:rsidR="00ED4DB2" w:rsidRPr="00D83ABD" w14:paraId="44C95E03" w14:textId="77777777" w:rsidTr="003B0FDF">
        <w:tc>
          <w:tcPr>
            <w:tcW w:w="704" w:type="dxa"/>
          </w:tcPr>
          <w:p w14:paraId="35EC80AD" w14:textId="5DC300C1" w:rsidR="00ED4DB2" w:rsidRPr="00D83ABD" w:rsidRDefault="004215FE" w:rsidP="0020517D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14:paraId="4D113C32" w14:textId="553E3C79" w:rsidR="00ED4DB2" w:rsidRPr="00D83ABD" w:rsidRDefault="00ED4DB2" w:rsidP="0020517D">
            <w:r w:rsidRPr="00D83ABD">
              <w:t>2.</w:t>
            </w:r>
            <w:r w:rsidR="004215FE">
              <w:t>3</w:t>
            </w:r>
          </w:p>
        </w:tc>
        <w:tc>
          <w:tcPr>
            <w:tcW w:w="2268" w:type="dxa"/>
          </w:tcPr>
          <w:p w14:paraId="293F31B7" w14:textId="5F6B7793" w:rsidR="00ED4DB2" w:rsidRPr="00D83ABD" w:rsidRDefault="00ED4DB2" w:rsidP="0020517D">
            <w:pPr>
              <w:rPr>
                <w:lang w:eastAsia="ru-RU"/>
              </w:rPr>
            </w:pPr>
            <w:r w:rsidRPr="00D83ABD">
              <w:rPr>
                <w:lang w:eastAsia="ru-RU"/>
              </w:rPr>
              <w:t xml:space="preserve">Частка окремих видів страхування згідно </w:t>
            </w:r>
            <w:r>
              <w:rPr>
                <w:lang w:eastAsia="ru-RU"/>
              </w:rPr>
              <w:t xml:space="preserve">з </w:t>
            </w:r>
            <w:r w:rsidRPr="00D83ABD">
              <w:rPr>
                <w:lang w:eastAsia="ru-RU"/>
              </w:rPr>
              <w:t>пунктом 7 розділу І Положення</w:t>
            </w:r>
            <w:r w:rsidR="008D6035">
              <w:rPr>
                <w:lang w:eastAsia="ru-RU"/>
              </w:rPr>
              <w:t xml:space="preserve"> </w:t>
            </w:r>
            <w:r w:rsidR="00272F01" w:rsidRPr="008D6035">
              <w:rPr>
                <w:lang w:eastAsia="ru-RU"/>
              </w:rPr>
              <w:t>про обов</w:t>
            </w:r>
            <w:r w:rsidR="00EA7323">
              <w:rPr>
                <w:lang w:eastAsia="ru-RU"/>
              </w:rPr>
              <w:t>’</w:t>
            </w:r>
            <w:r w:rsidR="00272F01" w:rsidRPr="008D6035">
              <w:rPr>
                <w:lang w:eastAsia="ru-RU"/>
              </w:rPr>
              <w:t>язкові критерії і нормативи достатності капіталу та платоспромож</w:t>
            </w:r>
            <w:r w:rsidR="00EA7323">
              <w:rPr>
                <w:lang w:eastAsia="ru-RU"/>
              </w:rPr>
              <w:t>-</w:t>
            </w:r>
            <w:r w:rsidR="00272F01" w:rsidRPr="008D6035">
              <w:rPr>
                <w:lang w:eastAsia="ru-RU"/>
              </w:rPr>
              <w:t xml:space="preserve">ності, ліквідності, прибутковості, якості активів та ризиковості операцій страховика, </w:t>
            </w:r>
            <w:r w:rsidR="00272F01" w:rsidRPr="008D6035">
              <w:rPr>
                <w:lang w:eastAsia="ru-RU"/>
              </w:rPr>
              <w:lastRenderedPageBreak/>
              <w:t>затвердженого розпорядженням Національної комісії, що здійснює державне регулювання у сфері ринків фінансових послуг, від 07</w:t>
            </w:r>
            <w:r w:rsidR="00A74EE9">
              <w:rPr>
                <w:lang w:eastAsia="ru-RU"/>
              </w:rPr>
              <w:t> </w:t>
            </w:r>
            <w:r w:rsidR="00272F01" w:rsidRPr="008D6035">
              <w:rPr>
                <w:lang w:eastAsia="ru-RU"/>
              </w:rPr>
              <w:t>червня 2018 року №</w:t>
            </w:r>
            <w:r w:rsidR="00EA7323">
              <w:rPr>
                <w:lang w:eastAsia="ru-RU"/>
              </w:rPr>
              <w:t> </w:t>
            </w:r>
            <w:r w:rsidR="00272F01" w:rsidRPr="008D6035">
              <w:rPr>
                <w:lang w:eastAsia="ru-RU"/>
              </w:rPr>
              <w:t>850, зареєстрованого</w:t>
            </w:r>
            <w:r w:rsidR="00272F01">
              <w:rPr>
                <w:color w:val="333333"/>
                <w:shd w:val="clear" w:color="auto" w:fill="FFFFFF"/>
              </w:rPr>
              <w:t xml:space="preserve"> </w:t>
            </w:r>
            <w:r w:rsidR="00272F01" w:rsidRPr="008D6035">
              <w:rPr>
                <w:lang w:eastAsia="ru-RU"/>
              </w:rPr>
              <w:t>в Міністерстві юстиції України 06 липня 2018 року за №</w:t>
            </w:r>
            <w:r w:rsidR="00EA7323">
              <w:rPr>
                <w:lang w:eastAsia="ru-RU"/>
              </w:rPr>
              <w:t> </w:t>
            </w:r>
            <w:r w:rsidR="00272F01" w:rsidRPr="008D6035">
              <w:rPr>
                <w:lang w:eastAsia="ru-RU"/>
              </w:rPr>
              <w:t xml:space="preserve">782/32234 (зі змінами) (далі </w:t>
            </w:r>
            <w:r w:rsidR="00EA7323">
              <w:rPr>
                <w:lang w:eastAsia="ru-RU"/>
              </w:rPr>
              <w:t>–</w:t>
            </w:r>
            <w:r w:rsidR="00272F01" w:rsidRPr="008D6035">
              <w:rPr>
                <w:lang w:eastAsia="ru-RU"/>
              </w:rPr>
              <w:t xml:space="preserve"> Положення №</w:t>
            </w:r>
            <w:r w:rsidR="00EA7323">
              <w:rPr>
                <w:lang w:eastAsia="ru-RU"/>
              </w:rPr>
              <w:t> </w:t>
            </w:r>
            <w:r w:rsidR="00272F01" w:rsidRPr="008D6035">
              <w:rPr>
                <w:lang w:eastAsia="ru-RU"/>
              </w:rPr>
              <w:t>850)</w:t>
            </w:r>
            <w:r w:rsidRPr="00D83ABD">
              <w:rPr>
                <w:lang w:eastAsia="ru-RU"/>
              </w:rPr>
              <w:t>, у структурі страхового портфел</w:t>
            </w:r>
            <w:r>
              <w:rPr>
                <w:lang w:eastAsia="ru-RU"/>
              </w:rPr>
              <w:t>я</w:t>
            </w:r>
            <w:r w:rsidRPr="00D83ABD">
              <w:rPr>
                <w:lang w:eastAsia="ru-RU"/>
              </w:rPr>
              <w:t xml:space="preserve"> (для </w:t>
            </w:r>
            <w:r w:rsidRPr="002B3FB5">
              <w:rPr>
                <w:lang w:eastAsia="ru-RU"/>
              </w:rPr>
              <w:t xml:space="preserve">страховика, який отримав </w:t>
            </w:r>
            <w:r w:rsidRPr="002B3FB5">
              <w:rPr>
                <w:lang w:eastAsia="ru-RU"/>
              </w:rPr>
              <w:lastRenderedPageBreak/>
              <w:t>ліцензію на</w:t>
            </w:r>
            <w:r w:rsidR="00646543" w:rsidRPr="002B3FB5">
              <w:rPr>
                <w:lang w:eastAsia="ru-RU"/>
              </w:rPr>
              <w:t xml:space="preserve"> </w:t>
            </w:r>
            <w:r w:rsidR="00270B77" w:rsidRPr="002B3FB5">
              <w:rPr>
                <w:lang w:eastAsia="ru-RU"/>
              </w:rPr>
              <w:t>здійснення</w:t>
            </w:r>
            <w:r w:rsidR="00E12144" w:rsidRPr="002B3FB5">
              <w:rPr>
                <w:lang w:eastAsia="ru-RU"/>
              </w:rPr>
              <w:t xml:space="preserve"> діяльності </w:t>
            </w:r>
            <w:r w:rsidRPr="002B3FB5">
              <w:rPr>
                <w:lang w:eastAsia="ru-RU"/>
              </w:rPr>
              <w:t>у сфері</w:t>
            </w:r>
            <w:r w:rsidRPr="00D83ABD">
              <w:rPr>
                <w:lang w:eastAsia="ru-RU"/>
              </w:rPr>
              <w:t xml:space="preserve"> страхування в частині проведення конкретних видів страхування інших, ніж страхування життя) </w:t>
            </w:r>
          </w:p>
          <w:p w14:paraId="7863145E" w14:textId="76B9E4A2" w:rsidR="00ED4DB2" w:rsidRPr="00D83ABD" w:rsidRDefault="00ED4DB2" w:rsidP="00E62842">
            <w:pPr>
              <w:rPr>
                <w:lang w:eastAsia="ru-RU"/>
              </w:rPr>
            </w:pPr>
            <w:r w:rsidRPr="00D83ABD">
              <w:rPr>
                <w:lang w:eastAsia="ru-RU"/>
              </w:rPr>
              <w:t>або частка страхових резервів за договорами довгострокового страхування життя у сформованих резервах зі страхування життя станом на дату оцін</w:t>
            </w:r>
            <w:r>
              <w:rPr>
                <w:lang w:eastAsia="ru-RU"/>
              </w:rPr>
              <w:t>ювання</w:t>
            </w:r>
            <w:r w:rsidRPr="00D83ABD">
              <w:rPr>
                <w:lang w:eastAsia="ru-RU"/>
              </w:rPr>
              <w:t xml:space="preserve"> (для страховика, </w:t>
            </w:r>
            <w:r w:rsidRPr="00D83ABD">
              <w:rPr>
                <w:lang w:eastAsia="ru-RU"/>
              </w:rPr>
              <w:lastRenderedPageBreak/>
              <w:t xml:space="preserve">який отримав </w:t>
            </w:r>
            <w:r w:rsidRPr="002B3FB5">
              <w:rPr>
                <w:lang w:eastAsia="ru-RU"/>
              </w:rPr>
              <w:t xml:space="preserve">ліцензію на </w:t>
            </w:r>
            <w:r w:rsidR="00E62842" w:rsidRPr="002B3FB5">
              <w:rPr>
                <w:lang w:eastAsia="ru-RU"/>
              </w:rPr>
              <w:t>здійснення діяльності</w:t>
            </w:r>
            <w:r w:rsidRPr="002B3FB5">
              <w:rPr>
                <w:lang w:eastAsia="ru-RU"/>
              </w:rPr>
              <w:t xml:space="preserve"> зі страхування життя)</w:t>
            </w:r>
          </w:p>
        </w:tc>
        <w:tc>
          <w:tcPr>
            <w:tcW w:w="2693" w:type="dxa"/>
          </w:tcPr>
          <w:p w14:paraId="0C1140A7" w14:textId="386A1E7E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lastRenderedPageBreak/>
              <w:t xml:space="preserve">Частка окремих видів страхування </w:t>
            </w:r>
            <w:r>
              <w:rPr>
                <w:sz w:val="28"/>
                <w:szCs w:val="28"/>
                <w:lang w:val="uk-UA"/>
              </w:rPr>
              <w:t>в</w:t>
            </w:r>
            <w:r w:rsidRPr="00D83ABD">
              <w:rPr>
                <w:sz w:val="28"/>
                <w:szCs w:val="28"/>
                <w:lang w:val="uk-UA"/>
              </w:rPr>
              <w:t xml:space="preserve"> структурі страхового портфел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D83ABD">
              <w:rPr>
                <w:sz w:val="28"/>
                <w:szCs w:val="28"/>
                <w:lang w:val="uk-UA"/>
              </w:rPr>
              <w:t xml:space="preserve"> (чисті премії) за період оцін</w:t>
            </w:r>
            <w:r>
              <w:rPr>
                <w:sz w:val="28"/>
                <w:szCs w:val="28"/>
                <w:lang w:val="uk-UA"/>
              </w:rPr>
              <w:t>ювання</w:t>
            </w:r>
            <w:r w:rsidRPr="00D83ABD">
              <w:rPr>
                <w:sz w:val="28"/>
                <w:szCs w:val="28"/>
                <w:lang w:val="uk-UA"/>
              </w:rPr>
              <w:t xml:space="preserve"> становить менше 10% (для страховика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D83ABD">
              <w:rPr>
                <w:sz w:val="28"/>
                <w:szCs w:val="28"/>
                <w:lang w:val="uk-UA"/>
              </w:rPr>
              <w:t xml:space="preserve"> який отримав ліцензію на </w:t>
            </w:r>
            <w:r w:rsidR="008C48BB">
              <w:rPr>
                <w:sz w:val="28"/>
                <w:szCs w:val="28"/>
                <w:lang w:val="uk-UA"/>
              </w:rPr>
              <w:t xml:space="preserve">здійснення </w:t>
            </w:r>
            <w:r w:rsidR="00E12144">
              <w:rPr>
                <w:sz w:val="28"/>
                <w:szCs w:val="28"/>
                <w:lang w:val="uk-UA"/>
              </w:rPr>
              <w:t>діяльності</w:t>
            </w:r>
            <w:r w:rsidRPr="00D83ABD">
              <w:rPr>
                <w:sz w:val="28"/>
                <w:szCs w:val="28"/>
                <w:lang w:val="uk-UA"/>
              </w:rPr>
              <w:t xml:space="preserve"> у сфері страхування в частині проведення конкретних видів страхування інших, ніж страхування життя) </w:t>
            </w:r>
          </w:p>
          <w:p w14:paraId="0CEA0CBB" w14:textId="3D14B3CD" w:rsidR="00ED4DB2" w:rsidRPr="00D83ABD" w:rsidRDefault="00ED4DB2" w:rsidP="00E12144">
            <w:pPr>
              <w:rPr>
                <w:shd w:val="clear" w:color="auto" w:fill="FFFFFF"/>
              </w:rPr>
            </w:pPr>
            <w:r w:rsidRPr="00D83ABD">
              <w:lastRenderedPageBreak/>
              <w:t xml:space="preserve">або частка страхових резервів за договорами довгострокового страхування життя у сформованих резервах зі страхування життя станом на дату </w:t>
            </w:r>
            <w:r>
              <w:rPr>
                <w:bCs/>
                <w:color w:val="000000"/>
                <w:shd w:val="clear" w:color="auto" w:fill="FFFFFF"/>
              </w:rPr>
              <w:t>оцінювання</w:t>
            </w:r>
            <w:r w:rsidRPr="00D83ABD">
              <w:t xml:space="preserve"> становить менше 25% (для страховика, який отримав ліцензію на </w:t>
            </w:r>
            <w:r w:rsidR="00E12144">
              <w:t>провадження діяльності</w:t>
            </w:r>
            <w:r w:rsidRPr="00D83ABD">
              <w:t xml:space="preserve"> зі страхування життя)</w:t>
            </w:r>
          </w:p>
        </w:tc>
        <w:tc>
          <w:tcPr>
            <w:tcW w:w="2268" w:type="dxa"/>
          </w:tcPr>
          <w:p w14:paraId="09F70F0B" w14:textId="72F71A6E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lastRenderedPageBreak/>
              <w:t xml:space="preserve">Частка окремих видів страхування </w:t>
            </w:r>
            <w:r>
              <w:rPr>
                <w:sz w:val="28"/>
                <w:szCs w:val="28"/>
                <w:lang w:val="uk-UA"/>
              </w:rPr>
              <w:t>в</w:t>
            </w:r>
            <w:r w:rsidRPr="00D83ABD">
              <w:rPr>
                <w:sz w:val="28"/>
                <w:szCs w:val="28"/>
                <w:lang w:val="uk-UA"/>
              </w:rPr>
              <w:t xml:space="preserve"> структурі страхового портфел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D83ABD">
              <w:rPr>
                <w:sz w:val="28"/>
                <w:szCs w:val="28"/>
                <w:lang w:val="uk-UA"/>
              </w:rPr>
              <w:t xml:space="preserve"> (чисті премії) за період </w:t>
            </w:r>
            <w:r w:rsidRPr="00124634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оцінювання</w:t>
            </w:r>
            <w:r w:rsidRPr="00D83ABD">
              <w:rPr>
                <w:sz w:val="28"/>
                <w:szCs w:val="28"/>
                <w:lang w:val="uk-UA"/>
              </w:rPr>
              <w:t xml:space="preserve"> становить 10</w:t>
            </w:r>
            <w:r w:rsidRPr="00FB4684">
              <w:rPr>
                <w:sz w:val="28"/>
                <w:szCs w:val="28"/>
                <w:lang w:val="uk-UA"/>
              </w:rPr>
              <w:t>%</w:t>
            </w:r>
            <w:r w:rsidRPr="00D83ABD">
              <w:rPr>
                <w:sz w:val="28"/>
                <w:szCs w:val="28"/>
                <w:lang w:val="uk-UA"/>
              </w:rPr>
              <w:t xml:space="preserve"> і більше, але  менше 25% (для страховика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D83ABD">
              <w:rPr>
                <w:sz w:val="28"/>
                <w:szCs w:val="28"/>
                <w:lang w:val="uk-UA"/>
              </w:rPr>
              <w:t xml:space="preserve"> який отримав ліцензію на </w:t>
            </w:r>
            <w:r w:rsidR="00141AA8">
              <w:rPr>
                <w:sz w:val="28"/>
                <w:szCs w:val="28"/>
                <w:lang w:val="uk-UA"/>
              </w:rPr>
              <w:t>здійснення</w:t>
            </w:r>
            <w:r w:rsidR="00124634">
              <w:rPr>
                <w:sz w:val="28"/>
                <w:szCs w:val="28"/>
                <w:lang w:val="uk-UA"/>
              </w:rPr>
              <w:t xml:space="preserve"> діяльності</w:t>
            </w:r>
            <w:r w:rsidRPr="00D83ABD">
              <w:rPr>
                <w:sz w:val="28"/>
                <w:szCs w:val="28"/>
                <w:lang w:val="uk-UA"/>
              </w:rPr>
              <w:t xml:space="preserve"> у сфері страхування в частині </w:t>
            </w:r>
            <w:r w:rsidRPr="00D83ABD">
              <w:rPr>
                <w:sz w:val="28"/>
                <w:szCs w:val="28"/>
                <w:lang w:val="uk-UA"/>
              </w:rPr>
              <w:lastRenderedPageBreak/>
              <w:t xml:space="preserve">проведення конкретних видів страхування інших, ніж страхування життя) </w:t>
            </w:r>
          </w:p>
          <w:p w14:paraId="6608D9CF" w14:textId="0F219FA6" w:rsidR="00ED4DB2" w:rsidRPr="00D83ABD" w:rsidRDefault="00ED4DB2" w:rsidP="00046AEC">
            <w:r w:rsidRPr="00D83ABD">
              <w:t>або частка страхових резервів за договорами довгострокового страхування життя у сформованих резервах зі страхування життя станом на дату оцін</w:t>
            </w:r>
            <w:r>
              <w:t>ювання</w:t>
            </w:r>
            <w:r w:rsidRPr="00D83ABD">
              <w:t xml:space="preserve"> становить 25</w:t>
            </w:r>
            <w:r w:rsidRPr="00FB4684">
              <w:t>%</w:t>
            </w:r>
            <w:r w:rsidRPr="00D83ABD">
              <w:t xml:space="preserve"> і більше, але менше 50% (для </w:t>
            </w:r>
            <w:r w:rsidRPr="00046AEC">
              <w:t>страховика, який отримав ліцензію на</w:t>
            </w:r>
            <w:r w:rsidR="00646543" w:rsidRPr="00046AEC">
              <w:t xml:space="preserve"> </w:t>
            </w:r>
            <w:r w:rsidR="00270B77" w:rsidRPr="00046AEC">
              <w:t>здійснення</w:t>
            </w:r>
            <w:r w:rsidR="00976689" w:rsidRPr="00046AEC">
              <w:t xml:space="preserve"> </w:t>
            </w:r>
            <w:r w:rsidR="00976689" w:rsidRPr="00046AEC">
              <w:lastRenderedPageBreak/>
              <w:t>діяльності</w:t>
            </w:r>
            <w:r w:rsidRPr="00046AEC">
              <w:t xml:space="preserve"> зі страхування життя)</w:t>
            </w:r>
          </w:p>
        </w:tc>
        <w:tc>
          <w:tcPr>
            <w:tcW w:w="2126" w:type="dxa"/>
          </w:tcPr>
          <w:p w14:paraId="7C98B89B" w14:textId="6C662C8B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lastRenderedPageBreak/>
              <w:t xml:space="preserve">Частка окремих видів страхування </w:t>
            </w:r>
            <w:r>
              <w:rPr>
                <w:sz w:val="28"/>
                <w:szCs w:val="28"/>
                <w:lang w:val="uk-UA"/>
              </w:rPr>
              <w:t>в</w:t>
            </w:r>
            <w:r w:rsidRPr="00D83ABD">
              <w:rPr>
                <w:sz w:val="28"/>
                <w:szCs w:val="28"/>
                <w:lang w:val="uk-UA"/>
              </w:rPr>
              <w:t xml:space="preserve"> структурі страхового портфел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D83ABD">
              <w:rPr>
                <w:sz w:val="28"/>
                <w:szCs w:val="28"/>
                <w:lang w:val="uk-UA"/>
              </w:rPr>
              <w:t xml:space="preserve"> (чисті премії) за період </w:t>
            </w:r>
            <w:r w:rsidRPr="00553E70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оцінювання</w:t>
            </w:r>
            <w:r w:rsidRPr="00D83ABD">
              <w:rPr>
                <w:sz w:val="28"/>
                <w:szCs w:val="28"/>
                <w:lang w:val="uk-UA"/>
              </w:rPr>
              <w:t xml:space="preserve"> становить 25</w:t>
            </w:r>
            <w:r w:rsidRPr="00FB4684">
              <w:rPr>
                <w:sz w:val="28"/>
                <w:szCs w:val="28"/>
                <w:lang w:val="uk-UA"/>
              </w:rPr>
              <w:t>%</w:t>
            </w:r>
            <w:r w:rsidRPr="00D83ABD">
              <w:rPr>
                <w:sz w:val="28"/>
                <w:szCs w:val="28"/>
                <w:lang w:val="uk-UA"/>
              </w:rPr>
              <w:t xml:space="preserve"> і більше, але менше 50% (для </w:t>
            </w:r>
            <w:r w:rsidRPr="00F330D1">
              <w:rPr>
                <w:sz w:val="28"/>
                <w:szCs w:val="28"/>
                <w:lang w:val="uk-UA"/>
              </w:rPr>
              <w:t xml:space="preserve">страховика, який отримав ліцензію на </w:t>
            </w:r>
            <w:r w:rsidR="00F330D1" w:rsidRPr="00F330D1">
              <w:rPr>
                <w:sz w:val="28"/>
                <w:szCs w:val="28"/>
                <w:lang w:val="uk-UA"/>
              </w:rPr>
              <w:t>здійснення</w:t>
            </w:r>
            <w:r w:rsidR="00553E70" w:rsidRPr="00F330D1">
              <w:rPr>
                <w:sz w:val="28"/>
                <w:szCs w:val="28"/>
                <w:lang w:val="uk-UA"/>
              </w:rPr>
              <w:t xml:space="preserve"> діяльності</w:t>
            </w:r>
            <w:r w:rsidRPr="00F330D1">
              <w:rPr>
                <w:sz w:val="28"/>
                <w:szCs w:val="28"/>
                <w:lang w:val="uk-UA"/>
              </w:rPr>
              <w:t xml:space="preserve"> у сфері</w:t>
            </w:r>
            <w:r w:rsidRPr="00D83ABD">
              <w:rPr>
                <w:sz w:val="28"/>
                <w:szCs w:val="28"/>
                <w:lang w:val="uk-UA"/>
              </w:rPr>
              <w:t xml:space="preserve"> </w:t>
            </w:r>
            <w:r w:rsidRPr="00D83ABD">
              <w:rPr>
                <w:sz w:val="28"/>
                <w:szCs w:val="28"/>
                <w:lang w:val="uk-UA"/>
              </w:rPr>
              <w:lastRenderedPageBreak/>
              <w:t xml:space="preserve">страхування в частині проведення конкретних видів страхування інших, ніж страхування життя) </w:t>
            </w:r>
          </w:p>
          <w:p w14:paraId="09EF0D6B" w14:textId="1E951F9E" w:rsidR="00ED4DB2" w:rsidRPr="00D83ABD" w:rsidRDefault="00ED4DB2" w:rsidP="00F330D1">
            <w:pPr>
              <w:rPr>
                <w:lang w:eastAsia="ru-RU"/>
              </w:rPr>
            </w:pPr>
            <w:r w:rsidRPr="00D83ABD">
              <w:t>або частка страхових резервів за договорами довгостроково</w:t>
            </w:r>
            <w:r>
              <w:t>-</w:t>
            </w:r>
            <w:r w:rsidRPr="00D83ABD">
              <w:t>го страхування життя у сформованих резервах зі страхування життя станом на дату оцін</w:t>
            </w:r>
            <w:r>
              <w:t>ювання</w:t>
            </w:r>
            <w:r w:rsidRPr="00D83ABD">
              <w:t xml:space="preserve"> становить 50</w:t>
            </w:r>
            <w:r w:rsidRPr="00FB4684">
              <w:t>%</w:t>
            </w:r>
            <w:r w:rsidRPr="00D83ABD">
              <w:t xml:space="preserve"> і більше, але менше 75% (для </w:t>
            </w:r>
            <w:r w:rsidRPr="00D83ABD">
              <w:lastRenderedPageBreak/>
              <w:t xml:space="preserve">страховика, </w:t>
            </w:r>
            <w:r w:rsidRPr="00F330D1">
              <w:t xml:space="preserve">який отримав ліцензію </w:t>
            </w:r>
            <w:r w:rsidR="00F330D1" w:rsidRPr="00F330D1">
              <w:t>здійснення</w:t>
            </w:r>
            <w:r w:rsidR="00553E70" w:rsidRPr="00F330D1">
              <w:t xml:space="preserve"> діяльності</w:t>
            </w:r>
            <w:r w:rsidRPr="00F330D1">
              <w:t xml:space="preserve"> зі страхування життя)</w:t>
            </w:r>
          </w:p>
        </w:tc>
        <w:tc>
          <w:tcPr>
            <w:tcW w:w="1985" w:type="dxa"/>
          </w:tcPr>
          <w:p w14:paraId="32E28622" w14:textId="2C677741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lastRenderedPageBreak/>
              <w:t xml:space="preserve">Частка окремих видів страхування </w:t>
            </w:r>
            <w:r>
              <w:rPr>
                <w:sz w:val="28"/>
                <w:szCs w:val="28"/>
                <w:lang w:val="uk-UA"/>
              </w:rPr>
              <w:t>в</w:t>
            </w:r>
            <w:r w:rsidRPr="00D83ABD">
              <w:rPr>
                <w:sz w:val="28"/>
                <w:szCs w:val="28"/>
                <w:lang w:val="uk-UA"/>
              </w:rPr>
              <w:t xml:space="preserve"> структурі страхового портфел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D83ABD">
              <w:rPr>
                <w:sz w:val="28"/>
                <w:szCs w:val="28"/>
                <w:lang w:val="uk-UA"/>
              </w:rPr>
              <w:t xml:space="preserve"> (чисті премії) за період </w:t>
            </w:r>
            <w:r w:rsidRPr="00DA5714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оцінювання</w:t>
            </w:r>
            <w:r w:rsidRPr="00D83ABD" w:rsidDel="00A43B40">
              <w:rPr>
                <w:sz w:val="28"/>
                <w:szCs w:val="28"/>
                <w:lang w:val="uk-UA"/>
              </w:rPr>
              <w:t xml:space="preserve"> </w:t>
            </w:r>
            <w:r w:rsidRPr="00D83ABD">
              <w:rPr>
                <w:sz w:val="28"/>
                <w:szCs w:val="28"/>
                <w:lang w:val="uk-UA"/>
              </w:rPr>
              <w:t>становить 50</w:t>
            </w:r>
            <w:r w:rsidRPr="00FB4684">
              <w:rPr>
                <w:sz w:val="28"/>
                <w:szCs w:val="28"/>
                <w:lang w:val="uk-UA"/>
              </w:rPr>
              <w:t>%</w:t>
            </w:r>
            <w:r w:rsidRPr="00D83ABD">
              <w:rPr>
                <w:sz w:val="28"/>
                <w:szCs w:val="28"/>
                <w:lang w:val="uk-UA"/>
              </w:rPr>
              <w:t xml:space="preserve"> і більше (для страховика</w:t>
            </w:r>
            <w:r>
              <w:rPr>
                <w:sz w:val="28"/>
                <w:szCs w:val="28"/>
                <w:lang w:val="uk-UA"/>
              </w:rPr>
              <w:t>,</w:t>
            </w:r>
            <w:r w:rsidRPr="00D83ABD">
              <w:rPr>
                <w:sz w:val="28"/>
                <w:szCs w:val="28"/>
                <w:lang w:val="uk-UA"/>
              </w:rPr>
              <w:t xml:space="preserve"> який </w:t>
            </w:r>
            <w:r w:rsidRPr="00784A96">
              <w:rPr>
                <w:sz w:val="28"/>
                <w:szCs w:val="28"/>
                <w:lang w:val="uk-UA"/>
              </w:rPr>
              <w:t xml:space="preserve">отримав ліцензію </w:t>
            </w:r>
            <w:r w:rsidR="00784A96" w:rsidRPr="00784A96">
              <w:rPr>
                <w:sz w:val="28"/>
                <w:szCs w:val="28"/>
                <w:lang w:val="uk-UA"/>
              </w:rPr>
              <w:t>здійснення</w:t>
            </w:r>
            <w:r w:rsidR="00DA5714" w:rsidRPr="00784A96">
              <w:rPr>
                <w:sz w:val="28"/>
                <w:szCs w:val="28"/>
                <w:lang w:val="uk-UA"/>
              </w:rPr>
              <w:t xml:space="preserve"> діяльності</w:t>
            </w:r>
            <w:r w:rsidRPr="00784A96">
              <w:rPr>
                <w:sz w:val="28"/>
                <w:szCs w:val="28"/>
                <w:lang w:val="uk-UA"/>
              </w:rPr>
              <w:t xml:space="preserve"> у сфері</w:t>
            </w:r>
            <w:r w:rsidRPr="00D83ABD">
              <w:rPr>
                <w:sz w:val="28"/>
                <w:szCs w:val="28"/>
                <w:lang w:val="uk-UA"/>
              </w:rPr>
              <w:t xml:space="preserve"> страхування в частині </w:t>
            </w:r>
            <w:r w:rsidRPr="00D83ABD">
              <w:rPr>
                <w:sz w:val="28"/>
                <w:szCs w:val="28"/>
                <w:lang w:val="uk-UA"/>
              </w:rPr>
              <w:lastRenderedPageBreak/>
              <w:t xml:space="preserve">проведення конкретних видів страхування інших, ніж страхування життя) </w:t>
            </w:r>
          </w:p>
          <w:p w14:paraId="37408C09" w14:textId="3AE46C97" w:rsidR="00ED4DB2" w:rsidRPr="00D83ABD" w:rsidRDefault="00ED4DB2" w:rsidP="0020517D">
            <w:r w:rsidRPr="00D83ABD">
              <w:t>або частка страхових резервів за договорами довгостроко</w:t>
            </w:r>
            <w:r>
              <w:t>-</w:t>
            </w:r>
            <w:r w:rsidRPr="00D83ABD">
              <w:t>вого страхування життя у сформованих резервах зі страхування життя станом на дату оцін</w:t>
            </w:r>
            <w:r>
              <w:t>ювання</w:t>
            </w:r>
            <w:r w:rsidRPr="00D83ABD">
              <w:t xml:space="preserve"> становить 75% і більше (для страховика, </w:t>
            </w:r>
            <w:r w:rsidRPr="00D91284">
              <w:t xml:space="preserve">який отримав ліцензію на </w:t>
            </w:r>
            <w:r w:rsidR="00D91284" w:rsidRPr="00D91284">
              <w:lastRenderedPageBreak/>
              <w:t xml:space="preserve">здійснення </w:t>
            </w:r>
            <w:r w:rsidR="00553E70" w:rsidRPr="00D91284">
              <w:t>діяльності</w:t>
            </w:r>
            <w:r w:rsidRPr="00D91284">
              <w:t xml:space="preserve"> зі страхування</w:t>
            </w:r>
            <w:r w:rsidRPr="00D83ABD">
              <w:t xml:space="preserve"> життя)</w:t>
            </w:r>
          </w:p>
          <w:p w14:paraId="42490C43" w14:textId="77777777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701" w:type="dxa"/>
          </w:tcPr>
          <w:p w14:paraId="07683BC3" w14:textId="317CF7E9" w:rsidR="00ED4DB2" w:rsidRPr="00D83ABD" w:rsidRDefault="00ED4DB2" w:rsidP="0020517D">
            <w:pPr>
              <w:jc w:val="center"/>
              <w:rPr>
                <w:bCs/>
              </w:rPr>
            </w:pPr>
            <w:r w:rsidRPr="0027082E">
              <w:rPr>
                <w:bCs/>
              </w:rPr>
              <w:lastRenderedPageBreak/>
              <w:t>5</w:t>
            </w:r>
            <w:r w:rsidR="00711E4E" w:rsidRPr="0027082E">
              <w:rPr>
                <w:bCs/>
              </w:rPr>
              <w:t>8</w:t>
            </w:r>
          </w:p>
        </w:tc>
      </w:tr>
      <w:tr w:rsidR="00ED4DB2" w:rsidRPr="00D83ABD" w14:paraId="298ACD84" w14:textId="77777777" w:rsidTr="003B0FDF">
        <w:tc>
          <w:tcPr>
            <w:tcW w:w="704" w:type="dxa"/>
          </w:tcPr>
          <w:p w14:paraId="7C287F70" w14:textId="74FE6036" w:rsidR="00ED4DB2" w:rsidRPr="00D83ABD" w:rsidRDefault="00ED4DB2" w:rsidP="0020517D">
            <w:pPr>
              <w:jc w:val="center"/>
              <w:rPr>
                <w:lang w:eastAsia="ru-RU"/>
              </w:rPr>
            </w:pPr>
            <w:r w:rsidRPr="00D83ABD">
              <w:rPr>
                <w:lang w:eastAsia="ru-RU"/>
              </w:rPr>
              <w:lastRenderedPageBreak/>
              <w:t>1</w:t>
            </w:r>
            <w:r w:rsidR="004215FE">
              <w:rPr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8ADF089" w14:textId="77777777" w:rsidR="00ED4DB2" w:rsidRPr="00D83ABD" w:rsidRDefault="00ED4DB2" w:rsidP="0020517D">
            <w:r w:rsidRPr="00D83ABD">
              <w:rPr>
                <w:lang w:eastAsia="ru-RU"/>
              </w:rPr>
              <w:t>3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3F19390" w14:textId="77777777" w:rsidR="00ED4DB2" w:rsidRPr="00D83ABD" w:rsidRDefault="00ED4DB2" w:rsidP="0020517D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t>Виконання обов’язкових критеріїв і нормативів достатності капіталу та платоспроможності, ліквідності, прибутковості, якості активів та ризиковості операцій, інших показників і вимог</w:t>
            </w:r>
          </w:p>
        </w:tc>
        <w:tc>
          <w:tcPr>
            <w:tcW w:w="1701" w:type="dxa"/>
            <w:shd w:val="clear" w:color="auto" w:fill="auto"/>
          </w:tcPr>
          <w:p w14:paraId="65B69BFB" w14:textId="77777777" w:rsidR="00ED4DB2" w:rsidRPr="00D83ABD" w:rsidRDefault="00ED4DB2" w:rsidP="0020517D">
            <w:pPr>
              <w:jc w:val="center"/>
              <w:rPr>
                <w:bCs/>
              </w:rPr>
            </w:pPr>
            <w:r w:rsidRPr="00D83ABD">
              <w:rPr>
                <w:bCs/>
              </w:rPr>
              <w:t>50</w:t>
            </w:r>
          </w:p>
        </w:tc>
      </w:tr>
      <w:tr w:rsidR="00ED4DB2" w:rsidRPr="00D83ABD" w14:paraId="3ABA9208" w14:textId="77777777" w:rsidTr="003B0FDF">
        <w:tc>
          <w:tcPr>
            <w:tcW w:w="704" w:type="dxa"/>
          </w:tcPr>
          <w:p w14:paraId="4CFB18EB" w14:textId="7677A0C2" w:rsidR="00ED4DB2" w:rsidRPr="00D83ABD" w:rsidRDefault="00ED4DB2" w:rsidP="0020517D">
            <w:pPr>
              <w:jc w:val="center"/>
            </w:pPr>
            <w:r w:rsidRPr="00D83ABD">
              <w:t>1</w:t>
            </w:r>
            <w:r w:rsidR="004215FE">
              <w:t>1</w:t>
            </w:r>
          </w:p>
        </w:tc>
        <w:tc>
          <w:tcPr>
            <w:tcW w:w="851" w:type="dxa"/>
          </w:tcPr>
          <w:p w14:paraId="57F7D2A6" w14:textId="77777777" w:rsidR="00ED4DB2" w:rsidRPr="00D83ABD" w:rsidRDefault="00ED4DB2" w:rsidP="0020517D">
            <w:r w:rsidRPr="00D83ABD">
              <w:t>3.1</w:t>
            </w:r>
          </w:p>
        </w:tc>
        <w:tc>
          <w:tcPr>
            <w:tcW w:w="2268" w:type="dxa"/>
          </w:tcPr>
          <w:p w14:paraId="59591DFE" w14:textId="073401BC" w:rsidR="00ED4DB2" w:rsidRPr="00D83ABD" w:rsidRDefault="00ED4DB2" w:rsidP="0020517D">
            <w:pPr>
              <w:rPr>
                <w:shd w:val="clear" w:color="auto" w:fill="FFFFFF"/>
              </w:rPr>
            </w:pPr>
            <w:r w:rsidRPr="001E00E6">
              <w:t>Дотримання</w:t>
            </w:r>
            <w:r w:rsidRPr="00D83ABD">
              <w:t xml:space="preserve"> </w:t>
            </w:r>
            <w:r w:rsidRPr="00D83ABD">
              <w:rPr>
                <w:shd w:val="clear" w:color="auto" w:fill="FFFFFF"/>
              </w:rPr>
              <w:t>нормативу платоспромож</w:t>
            </w:r>
            <w:r>
              <w:rPr>
                <w:shd w:val="clear" w:color="auto" w:fill="FFFFFF"/>
              </w:rPr>
              <w:t>-</w:t>
            </w:r>
            <w:r w:rsidRPr="00D83ABD">
              <w:rPr>
                <w:shd w:val="clear" w:color="auto" w:fill="FFFFFF"/>
              </w:rPr>
              <w:t>ності та достатності капіталу (для страховика</w:t>
            </w:r>
            <w:r w:rsidR="00B1223D">
              <w:rPr>
                <w:shd w:val="clear" w:color="auto" w:fill="FFFFFF"/>
              </w:rPr>
              <w:t xml:space="preserve"> – </w:t>
            </w:r>
            <w:r w:rsidRPr="00D83ABD">
              <w:rPr>
                <w:shd w:val="clear" w:color="auto" w:fill="FFFFFF"/>
              </w:rPr>
              <w:t>власника істотної участі в іншому страховику – дотримання нормативу платоспромож</w:t>
            </w:r>
            <w:r>
              <w:rPr>
                <w:shd w:val="clear" w:color="auto" w:fill="FFFFFF"/>
              </w:rPr>
              <w:t>-</w:t>
            </w:r>
            <w:r w:rsidRPr="00D83ABD">
              <w:rPr>
                <w:shd w:val="clear" w:color="auto" w:fill="FFFFFF"/>
              </w:rPr>
              <w:t xml:space="preserve">ності та достатності капіталу </w:t>
            </w:r>
            <w:r w:rsidRPr="00D83ABD">
              <w:rPr>
                <w:shd w:val="clear" w:color="auto" w:fill="FFFFFF"/>
              </w:rPr>
              <w:lastRenderedPageBreak/>
              <w:t xml:space="preserve">власника істотної участі) </w:t>
            </w:r>
          </w:p>
          <w:p w14:paraId="4AE0847F" w14:textId="77777777" w:rsidR="00ED4DB2" w:rsidRPr="00D83ABD" w:rsidRDefault="00ED4DB2" w:rsidP="0020517D">
            <w:pPr>
              <w:rPr>
                <w:shd w:val="clear" w:color="auto" w:fill="FFFFFF"/>
              </w:rPr>
            </w:pPr>
          </w:p>
          <w:p w14:paraId="2247D335" w14:textId="77777777" w:rsidR="00ED4DB2" w:rsidRPr="00D83ABD" w:rsidRDefault="00ED4DB2" w:rsidP="0020517D"/>
        </w:tc>
        <w:tc>
          <w:tcPr>
            <w:tcW w:w="2693" w:type="dxa"/>
          </w:tcPr>
          <w:p w14:paraId="387E4E47" w14:textId="4B058433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lastRenderedPageBreak/>
              <w:t>Виконання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нормативу платоспроможності та достатності капіталу,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становленого відповідно до розділу ІІІ Положення № 850,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 разі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наявності обсягу прийнятних активів, що перевищує нормативний обсяг, збільшений більше ніж на 20% включно величини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або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НЗП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(якщо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НЗП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більше величини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), визначених відповідно до вимог пункту 1 розділу ІІІ Положення № 850</w:t>
            </w:r>
          </w:p>
          <w:p w14:paraId="608DD235" w14:textId="77777777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  <w:p w14:paraId="3BC621FB" w14:textId="77777777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14:paraId="3B127526" w14:textId="77777777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lastRenderedPageBreak/>
              <w:t>Виконання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нормативу платоспромож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ності та достатності капіталу,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становленого відповідно до розділу ІІІ Положення 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850,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за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наявності обсягу прийнятних активів, що перевищує нормативний обсяг, збільшений до 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20% величини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або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НЗП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(якщо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НЗП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більше величини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), визначених відповідно до вимог пункту 1 розділу ІІІ Положення 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850</w:t>
            </w:r>
          </w:p>
          <w:p w14:paraId="4E24F9E9" w14:textId="77777777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7B9447F1" w14:textId="77777777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lastRenderedPageBreak/>
              <w:t>Виконання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нормативу платоспромож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ності та достатності капіталу,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становленого відповідно до розділу ІІІ Положення 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850,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за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наявності обсягу прийнятних активів, що перевищує нормативний обсяг, 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збільшений до 10% включно від величини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або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НЗП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(якщо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НЗП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більше величини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“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”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), визначених відповідно до вимог пункту 1 розділу ІІІ Положення 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850</w:t>
            </w:r>
          </w:p>
        </w:tc>
        <w:tc>
          <w:tcPr>
            <w:tcW w:w="1985" w:type="dxa"/>
          </w:tcPr>
          <w:p w14:paraId="0298E2C3" w14:textId="77777777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lastRenderedPageBreak/>
              <w:t>Невиконання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нормативу платоспро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можності та достатності капіталу,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становленого відповідно до  розділу ІІІ Положення 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850</w:t>
            </w:r>
          </w:p>
        </w:tc>
        <w:tc>
          <w:tcPr>
            <w:tcW w:w="1701" w:type="dxa"/>
          </w:tcPr>
          <w:p w14:paraId="3E401035" w14:textId="77777777" w:rsidR="00ED4DB2" w:rsidRPr="00D83ABD" w:rsidRDefault="00ED4DB2" w:rsidP="0020517D">
            <w:pPr>
              <w:jc w:val="center"/>
              <w:rPr>
                <w:bCs/>
              </w:rPr>
            </w:pPr>
            <w:r w:rsidRPr="00D83ABD">
              <w:rPr>
                <w:bCs/>
              </w:rPr>
              <w:t>35</w:t>
            </w:r>
          </w:p>
        </w:tc>
      </w:tr>
      <w:tr w:rsidR="00ED4DB2" w:rsidRPr="00D83ABD" w14:paraId="72D8A11A" w14:textId="77777777" w:rsidTr="003B0FDF">
        <w:tc>
          <w:tcPr>
            <w:tcW w:w="704" w:type="dxa"/>
          </w:tcPr>
          <w:p w14:paraId="2281000B" w14:textId="5C51E28A" w:rsidR="00ED4DB2" w:rsidRPr="00D83ABD" w:rsidRDefault="00ED4DB2" w:rsidP="0020517D">
            <w:pPr>
              <w:jc w:val="center"/>
            </w:pPr>
            <w:r w:rsidRPr="00D83ABD">
              <w:t>1</w:t>
            </w:r>
            <w:r w:rsidR="004215FE">
              <w:t>2</w:t>
            </w:r>
          </w:p>
        </w:tc>
        <w:tc>
          <w:tcPr>
            <w:tcW w:w="851" w:type="dxa"/>
          </w:tcPr>
          <w:p w14:paraId="49EB763E" w14:textId="77777777" w:rsidR="00ED4DB2" w:rsidRPr="00D83ABD" w:rsidRDefault="00ED4DB2" w:rsidP="0020517D">
            <w:r w:rsidRPr="00D83ABD">
              <w:t>3.2</w:t>
            </w:r>
          </w:p>
        </w:tc>
        <w:tc>
          <w:tcPr>
            <w:tcW w:w="2268" w:type="dxa"/>
          </w:tcPr>
          <w:p w14:paraId="692416F7" w14:textId="77777777" w:rsidR="00ED4DB2" w:rsidRPr="00D83ABD" w:rsidRDefault="00ED4DB2" w:rsidP="0020517D">
            <w:pPr>
              <w:rPr>
                <w:shd w:val="clear" w:color="auto" w:fill="FFFFFF"/>
              </w:rPr>
            </w:pPr>
            <w:r w:rsidRPr="00D83ABD">
              <w:t xml:space="preserve">Дотримання </w:t>
            </w:r>
            <w:r w:rsidRPr="00D83ABD">
              <w:rPr>
                <w:shd w:val="clear" w:color="auto" w:fill="FFFFFF"/>
              </w:rPr>
              <w:t xml:space="preserve">нормативу ризиковості операцій </w:t>
            </w:r>
          </w:p>
          <w:p w14:paraId="2891F7E5" w14:textId="77777777" w:rsidR="00ED4DB2" w:rsidRPr="00D83ABD" w:rsidRDefault="00ED4DB2" w:rsidP="0020517D">
            <w:pPr>
              <w:rPr>
                <w:shd w:val="clear" w:color="auto" w:fill="FFFFFF"/>
              </w:rPr>
            </w:pPr>
          </w:p>
          <w:p w14:paraId="02DFD0D4" w14:textId="77777777" w:rsidR="00ED4DB2" w:rsidRPr="00D83ABD" w:rsidRDefault="00ED4DB2" w:rsidP="0020517D"/>
        </w:tc>
        <w:tc>
          <w:tcPr>
            <w:tcW w:w="2693" w:type="dxa"/>
          </w:tcPr>
          <w:p w14:paraId="5F5B172D" w14:textId="77777777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t>Виконання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нормативу ризиковості операцій,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становленого відповідно до розділу </w:t>
            </w:r>
            <w:r w:rsidRPr="00D83ABD">
              <w:rPr>
                <w:bCs/>
                <w:sz w:val="28"/>
                <w:szCs w:val="28"/>
                <w:shd w:val="clear" w:color="auto" w:fill="FFFFFF"/>
                <w:lang w:val="uk-UA"/>
              </w:rPr>
              <w:t>V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Положення № 850,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 разі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наявності профіциту обсягу прийнятних активів порівнян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з нормативним 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обсягом 10% і більше від нормативного обсягу, або нормативний обсяг дорівнює 0 (у страховика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немає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сформован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их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страхов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их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резерв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ів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2268" w:type="dxa"/>
          </w:tcPr>
          <w:p w14:paraId="4495021A" w14:textId="77777777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lastRenderedPageBreak/>
              <w:t>Виконання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нормативу ризиковості операцій,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становленого відповідно до розділу </w:t>
            </w:r>
            <w:r w:rsidRPr="00D83ABD">
              <w:rPr>
                <w:bCs/>
                <w:sz w:val="28"/>
                <w:szCs w:val="28"/>
                <w:shd w:val="clear" w:color="auto" w:fill="FFFFFF"/>
                <w:lang w:val="uk-UA"/>
              </w:rPr>
              <w:t>V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Положення 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850,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 разі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наявності профіциту обсягу прийнятних 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активів порівнян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з нормативним обсягом більше 5% до 10% від нормативного обсягу</w:t>
            </w:r>
          </w:p>
          <w:p w14:paraId="237E6761" w14:textId="77777777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14:paraId="4350B61A" w14:textId="77777777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lastRenderedPageBreak/>
              <w:t>Виконання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нормативу ризиковості операцій,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становленого відповідно до розділу </w:t>
            </w:r>
            <w:r w:rsidRPr="00D83ABD">
              <w:rPr>
                <w:bCs/>
                <w:sz w:val="28"/>
                <w:szCs w:val="28"/>
                <w:shd w:val="clear" w:color="auto" w:fill="FFFFFF"/>
                <w:lang w:val="uk-UA"/>
              </w:rPr>
              <w:t>V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Положення 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850,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у разі 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наявності профіциту обсягу прийнятних 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активів порівнян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о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з нормативним обсягом більше 0% до 5% включно від нормативного обсягу</w:t>
            </w:r>
          </w:p>
        </w:tc>
        <w:tc>
          <w:tcPr>
            <w:tcW w:w="1985" w:type="dxa"/>
          </w:tcPr>
          <w:p w14:paraId="0A66D053" w14:textId="77777777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Нев</w:t>
            </w:r>
            <w:r w:rsidRPr="00D83ABD">
              <w:rPr>
                <w:sz w:val="28"/>
                <w:szCs w:val="28"/>
                <w:lang w:val="uk-UA"/>
              </w:rPr>
              <w:t>иконання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нормативу ризиковості операцій,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становленого відповідно до розділу </w:t>
            </w:r>
            <w:r w:rsidRPr="00D83ABD">
              <w:rPr>
                <w:bCs/>
                <w:sz w:val="28"/>
                <w:szCs w:val="28"/>
                <w:shd w:val="clear" w:color="auto" w:fill="FFFFFF"/>
                <w:lang w:val="uk-UA"/>
              </w:rPr>
              <w:t>V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Положення 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 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850 </w:t>
            </w:r>
          </w:p>
        </w:tc>
        <w:tc>
          <w:tcPr>
            <w:tcW w:w="1701" w:type="dxa"/>
          </w:tcPr>
          <w:p w14:paraId="2552C191" w14:textId="77777777" w:rsidR="00ED4DB2" w:rsidRPr="00D83ABD" w:rsidRDefault="00ED4DB2" w:rsidP="0020517D">
            <w:pPr>
              <w:jc w:val="center"/>
              <w:rPr>
                <w:bCs/>
              </w:rPr>
            </w:pPr>
            <w:r w:rsidRPr="00D83ABD">
              <w:rPr>
                <w:bCs/>
              </w:rPr>
              <w:t>30</w:t>
            </w:r>
          </w:p>
        </w:tc>
      </w:tr>
      <w:tr w:rsidR="00ED4DB2" w:rsidRPr="00D83ABD" w14:paraId="2E43CA43" w14:textId="77777777" w:rsidTr="003B0FDF">
        <w:trPr>
          <w:trHeight w:val="758"/>
        </w:trPr>
        <w:tc>
          <w:tcPr>
            <w:tcW w:w="704" w:type="dxa"/>
          </w:tcPr>
          <w:p w14:paraId="7BA962F2" w14:textId="58164217" w:rsidR="00ED4DB2" w:rsidRPr="00D83ABD" w:rsidRDefault="00ED4DB2" w:rsidP="0020517D">
            <w:pPr>
              <w:jc w:val="center"/>
            </w:pPr>
            <w:r w:rsidRPr="00D83ABD">
              <w:t>1</w:t>
            </w:r>
            <w:r w:rsidR="004215FE">
              <w:t>3</w:t>
            </w:r>
          </w:p>
        </w:tc>
        <w:tc>
          <w:tcPr>
            <w:tcW w:w="851" w:type="dxa"/>
          </w:tcPr>
          <w:p w14:paraId="2C45CB89" w14:textId="77777777" w:rsidR="00ED4DB2" w:rsidRPr="00D83ABD" w:rsidRDefault="00ED4DB2" w:rsidP="0020517D">
            <w:r w:rsidRPr="00D83ABD">
              <w:t>3.3</w:t>
            </w:r>
          </w:p>
        </w:tc>
        <w:tc>
          <w:tcPr>
            <w:tcW w:w="2268" w:type="dxa"/>
          </w:tcPr>
          <w:p w14:paraId="0C9E16B9" w14:textId="77777777" w:rsidR="00ED4DB2" w:rsidRPr="00D83ABD" w:rsidRDefault="00ED4DB2" w:rsidP="0020517D">
            <w:pPr>
              <w:rPr>
                <w:strike/>
                <w:shd w:val="clear" w:color="auto" w:fill="FFFFFF"/>
                <w:lang w:eastAsia="ru-RU"/>
              </w:rPr>
            </w:pPr>
            <w:r w:rsidRPr="00D83ABD">
              <w:rPr>
                <w:shd w:val="clear" w:color="auto" w:fill="FFFFFF"/>
                <w:lang w:eastAsia="ru-RU"/>
              </w:rPr>
              <w:t xml:space="preserve">Частка визначених категорій активів з високою ліквідністю, а саме: грошові кошти на поточних та депозитних рахунках, кошти </w:t>
            </w:r>
            <w:r>
              <w:rPr>
                <w:shd w:val="clear" w:color="auto" w:fill="FFFFFF"/>
                <w:lang w:eastAsia="ru-RU"/>
              </w:rPr>
              <w:t>в</w:t>
            </w:r>
            <w:r w:rsidRPr="00D83ABD">
              <w:rPr>
                <w:shd w:val="clear" w:color="auto" w:fill="FFFFFF"/>
                <w:lang w:eastAsia="ru-RU"/>
              </w:rPr>
              <w:t xml:space="preserve"> банківських металах, державні цінні папери </w:t>
            </w:r>
            <w:r>
              <w:rPr>
                <w:shd w:val="clear" w:color="auto" w:fill="FFFFFF"/>
                <w:lang w:eastAsia="ru-RU"/>
              </w:rPr>
              <w:t>в</w:t>
            </w:r>
            <w:r w:rsidRPr="00D83ABD">
              <w:rPr>
                <w:shd w:val="clear" w:color="auto" w:fill="FFFFFF"/>
                <w:lang w:eastAsia="ru-RU"/>
              </w:rPr>
              <w:t xml:space="preserve"> структурі </w:t>
            </w:r>
            <w:r w:rsidRPr="00D83ABD">
              <w:rPr>
                <w:shd w:val="clear" w:color="auto" w:fill="FFFFFF"/>
                <w:lang w:eastAsia="ru-RU"/>
              </w:rPr>
              <w:lastRenderedPageBreak/>
              <w:t>балансу страховика</w:t>
            </w:r>
          </w:p>
        </w:tc>
        <w:tc>
          <w:tcPr>
            <w:tcW w:w="2693" w:type="dxa"/>
          </w:tcPr>
          <w:p w14:paraId="27DA636B" w14:textId="77777777" w:rsidR="00ED4DB2" w:rsidRPr="00D83ABD" w:rsidRDefault="00ED4DB2" w:rsidP="0020517D">
            <w:pPr>
              <w:rPr>
                <w:shd w:val="clear" w:color="auto" w:fill="FFFFFF"/>
                <w:lang w:eastAsia="ru-RU"/>
              </w:rPr>
            </w:pPr>
            <w:r w:rsidRPr="00D83ABD">
              <w:rPr>
                <w:shd w:val="clear" w:color="auto" w:fill="FFFFFF"/>
                <w:lang w:eastAsia="ru-RU"/>
              </w:rPr>
              <w:lastRenderedPageBreak/>
              <w:t>Сукупна частка обсягів активів з високою ліквідністю становить більше ніж 50% від загального обсягу активів страховика</w:t>
            </w:r>
          </w:p>
        </w:tc>
        <w:tc>
          <w:tcPr>
            <w:tcW w:w="2268" w:type="dxa"/>
          </w:tcPr>
          <w:p w14:paraId="0024B9CB" w14:textId="77777777" w:rsidR="00ED4DB2" w:rsidRPr="00D83ABD" w:rsidRDefault="00ED4DB2" w:rsidP="0020517D">
            <w:pPr>
              <w:rPr>
                <w:shd w:val="clear" w:color="auto" w:fill="FFFFFF"/>
                <w:lang w:eastAsia="ru-RU"/>
              </w:rPr>
            </w:pPr>
            <w:r w:rsidRPr="00D83ABD">
              <w:rPr>
                <w:shd w:val="clear" w:color="auto" w:fill="FFFFFF"/>
                <w:lang w:eastAsia="ru-RU"/>
              </w:rPr>
              <w:t>Сукупна частка обсягів активів з високою ліквідністю становить більше 30% до 50% включно від загального обсягу активів страховика</w:t>
            </w:r>
          </w:p>
        </w:tc>
        <w:tc>
          <w:tcPr>
            <w:tcW w:w="2126" w:type="dxa"/>
          </w:tcPr>
          <w:p w14:paraId="1BF863E2" w14:textId="77777777" w:rsidR="00ED4DB2" w:rsidRPr="00D83ABD" w:rsidRDefault="00ED4DB2" w:rsidP="0020517D">
            <w:pPr>
              <w:rPr>
                <w:shd w:val="clear" w:color="auto" w:fill="FFFFFF"/>
                <w:lang w:eastAsia="ru-RU"/>
              </w:rPr>
            </w:pPr>
            <w:r w:rsidRPr="00D83ABD">
              <w:rPr>
                <w:shd w:val="clear" w:color="auto" w:fill="FFFFFF"/>
                <w:lang w:eastAsia="ru-RU"/>
              </w:rPr>
              <w:t>Сукупна частка обсягів активів з високою ліквідністю становить більше 20% до 30% включно від загального обсягу активів страховика</w:t>
            </w:r>
          </w:p>
        </w:tc>
        <w:tc>
          <w:tcPr>
            <w:tcW w:w="1985" w:type="dxa"/>
          </w:tcPr>
          <w:p w14:paraId="231CA55A" w14:textId="77777777" w:rsidR="00ED4DB2" w:rsidRPr="00D83ABD" w:rsidRDefault="00ED4DB2" w:rsidP="0020517D">
            <w:pPr>
              <w:rPr>
                <w:shd w:val="clear" w:color="auto" w:fill="FFFFFF"/>
                <w:lang w:eastAsia="ru-RU"/>
              </w:rPr>
            </w:pPr>
            <w:r w:rsidRPr="00D83ABD">
              <w:rPr>
                <w:shd w:val="clear" w:color="auto" w:fill="FFFFFF"/>
                <w:lang w:eastAsia="ru-RU"/>
              </w:rPr>
              <w:t>Сукупна частка обсягів активів з високою ліквідністю становить до 20% включно від загального обсягу активів страховика</w:t>
            </w:r>
          </w:p>
        </w:tc>
        <w:tc>
          <w:tcPr>
            <w:tcW w:w="1701" w:type="dxa"/>
          </w:tcPr>
          <w:p w14:paraId="1D00442A" w14:textId="77777777" w:rsidR="00ED4DB2" w:rsidRPr="00D83ABD" w:rsidRDefault="00ED4DB2" w:rsidP="0020517D">
            <w:pPr>
              <w:jc w:val="center"/>
              <w:rPr>
                <w:bCs/>
              </w:rPr>
            </w:pPr>
            <w:r w:rsidRPr="00D83ABD">
              <w:rPr>
                <w:bCs/>
              </w:rPr>
              <w:t>20</w:t>
            </w:r>
          </w:p>
        </w:tc>
      </w:tr>
      <w:tr w:rsidR="00ED4DB2" w:rsidRPr="00D83ABD" w14:paraId="09A88C68" w14:textId="77777777" w:rsidTr="003B0FDF">
        <w:trPr>
          <w:trHeight w:val="581"/>
        </w:trPr>
        <w:tc>
          <w:tcPr>
            <w:tcW w:w="704" w:type="dxa"/>
          </w:tcPr>
          <w:p w14:paraId="79B33F5B" w14:textId="22DFA207" w:rsidR="00ED4DB2" w:rsidRPr="00D83ABD" w:rsidRDefault="00ED4DB2" w:rsidP="0020517D">
            <w:pPr>
              <w:jc w:val="center"/>
            </w:pPr>
            <w:r w:rsidRPr="00D83ABD">
              <w:t>1</w:t>
            </w:r>
            <w:r w:rsidR="004215FE">
              <w:t>4</w:t>
            </w:r>
          </w:p>
        </w:tc>
        <w:tc>
          <w:tcPr>
            <w:tcW w:w="851" w:type="dxa"/>
          </w:tcPr>
          <w:p w14:paraId="6C929026" w14:textId="77777777" w:rsidR="00ED4DB2" w:rsidRPr="00D83ABD" w:rsidRDefault="00ED4DB2" w:rsidP="0020517D">
            <w:r w:rsidRPr="00D83ABD">
              <w:t>3.4</w:t>
            </w:r>
          </w:p>
        </w:tc>
        <w:tc>
          <w:tcPr>
            <w:tcW w:w="2268" w:type="dxa"/>
          </w:tcPr>
          <w:p w14:paraId="4DB0F904" w14:textId="77777777" w:rsidR="00ED4DB2" w:rsidRPr="00D83ABD" w:rsidRDefault="00ED4DB2" w:rsidP="0020517D">
            <w:r w:rsidRPr="00D83ABD">
              <w:t>Частка прийнятних активів у структурі балансу страховика</w:t>
            </w:r>
          </w:p>
          <w:p w14:paraId="194DE7FF" w14:textId="77777777" w:rsidR="00ED4DB2" w:rsidRPr="00D83ABD" w:rsidRDefault="00ED4DB2" w:rsidP="0020517D"/>
          <w:p w14:paraId="5CC9D76F" w14:textId="77777777" w:rsidR="00ED4DB2" w:rsidRPr="00D83ABD" w:rsidRDefault="00ED4DB2" w:rsidP="0020517D"/>
        </w:tc>
        <w:tc>
          <w:tcPr>
            <w:tcW w:w="2693" w:type="dxa"/>
          </w:tcPr>
          <w:p w14:paraId="465AA733" w14:textId="77777777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trike/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t xml:space="preserve">Співвідношення обсягу прийнятних активів, що відповідають вимогам,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D83ABD">
              <w:rPr>
                <w:sz w:val="28"/>
                <w:szCs w:val="28"/>
                <w:lang w:val="uk-UA"/>
              </w:rPr>
              <w:t xml:space="preserve">становленим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D83ABD">
              <w:rPr>
                <w:sz w:val="28"/>
                <w:szCs w:val="28"/>
                <w:lang w:val="uk-UA"/>
              </w:rPr>
              <w:t>розділ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D83ABD">
              <w:rPr>
                <w:sz w:val="28"/>
                <w:szCs w:val="28"/>
                <w:lang w:val="uk-UA"/>
              </w:rPr>
              <w:t xml:space="preserve"> ІІ Положення № 850, </w:t>
            </w:r>
            <w:r>
              <w:rPr>
                <w:sz w:val="28"/>
                <w:szCs w:val="28"/>
                <w:lang w:val="uk-UA"/>
              </w:rPr>
              <w:t>і</w:t>
            </w:r>
            <w:r w:rsidRPr="00D83ABD">
              <w:rPr>
                <w:sz w:val="28"/>
                <w:szCs w:val="28"/>
                <w:lang w:val="uk-UA"/>
              </w:rPr>
              <w:t xml:space="preserve"> загального обсягу активів страховика становить більше ніж 75% </w:t>
            </w:r>
          </w:p>
        </w:tc>
        <w:tc>
          <w:tcPr>
            <w:tcW w:w="2268" w:type="dxa"/>
          </w:tcPr>
          <w:p w14:paraId="1ECD1C42" w14:textId="77777777" w:rsidR="00ED4DB2" w:rsidRPr="00D83ABD" w:rsidRDefault="00ED4DB2" w:rsidP="0020517D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t xml:space="preserve">Співвідношення обсягу прийнятних активів, що відповідають вимогам,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D83ABD">
              <w:rPr>
                <w:sz w:val="28"/>
                <w:szCs w:val="28"/>
                <w:lang w:val="uk-UA"/>
              </w:rPr>
              <w:t xml:space="preserve">становленим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D83ABD">
              <w:rPr>
                <w:sz w:val="28"/>
                <w:szCs w:val="28"/>
                <w:lang w:val="uk-UA"/>
              </w:rPr>
              <w:t>розділ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D83ABD">
              <w:rPr>
                <w:sz w:val="28"/>
                <w:szCs w:val="28"/>
                <w:lang w:val="uk-UA"/>
              </w:rPr>
              <w:t xml:space="preserve"> ІІ Положення № 850, </w:t>
            </w:r>
            <w:r>
              <w:rPr>
                <w:sz w:val="28"/>
                <w:szCs w:val="28"/>
                <w:lang w:val="uk-UA"/>
              </w:rPr>
              <w:t>і</w:t>
            </w:r>
            <w:r w:rsidRPr="00D83ABD">
              <w:rPr>
                <w:sz w:val="28"/>
                <w:szCs w:val="28"/>
                <w:lang w:val="uk-UA"/>
              </w:rPr>
              <w:t xml:space="preserve"> загального обсягу активів страховика становить більше 50% до 75% включно</w:t>
            </w:r>
          </w:p>
        </w:tc>
        <w:tc>
          <w:tcPr>
            <w:tcW w:w="2126" w:type="dxa"/>
          </w:tcPr>
          <w:p w14:paraId="3DC1C374" w14:textId="3B181986" w:rsidR="00ED4DB2" w:rsidRPr="00D83ABD" w:rsidRDefault="00ED4DB2" w:rsidP="0001585C">
            <w:r w:rsidRPr="00D83ABD">
              <w:rPr>
                <w:lang w:eastAsia="ru-RU"/>
              </w:rPr>
              <w:t>Співвідно</w:t>
            </w:r>
            <w:r w:rsidR="0001585C">
              <w:rPr>
                <w:lang w:eastAsia="ru-RU"/>
              </w:rPr>
              <w:t>-</w:t>
            </w:r>
            <w:r w:rsidRPr="00D83ABD">
              <w:rPr>
                <w:lang w:eastAsia="ru-RU"/>
              </w:rPr>
              <w:t xml:space="preserve">шення обсягу прийнятних активів, що відповідають вимогам, </w:t>
            </w:r>
            <w:r>
              <w:rPr>
                <w:lang w:eastAsia="ru-RU"/>
              </w:rPr>
              <w:t>у</w:t>
            </w:r>
            <w:r w:rsidRPr="00D83ABD">
              <w:rPr>
                <w:lang w:eastAsia="ru-RU"/>
              </w:rPr>
              <w:t xml:space="preserve">становленим </w:t>
            </w:r>
            <w:r>
              <w:rPr>
                <w:lang w:eastAsia="ru-RU"/>
              </w:rPr>
              <w:t xml:space="preserve">у </w:t>
            </w:r>
            <w:r w:rsidRPr="00D83ABD">
              <w:rPr>
                <w:lang w:eastAsia="ru-RU"/>
              </w:rPr>
              <w:t>розділ</w:t>
            </w:r>
            <w:r>
              <w:rPr>
                <w:lang w:eastAsia="ru-RU"/>
              </w:rPr>
              <w:t>і</w:t>
            </w:r>
            <w:r w:rsidRPr="00D83ABD">
              <w:rPr>
                <w:lang w:eastAsia="ru-RU"/>
              </w:rPr>
              <w:t xml:space="preserve"> ІІ Положення № 850, </w:t>
            </w:r>
            <w:r>
              <w:rPr>
                <w:lang w:eastAsia="ru-RU"/>
              </w:rPr>
              <w:t xml:space="preserve">і </w:t>
            </w:r>
            <w:r w:rsidRPr="00D83ABD">
              <w:rPr>
                <w:lang w:eastAsia="ru-RU"/>
              </w:rPr>
              <w:t>загального обсягу активів страховика становить більше 25% до 50% включно</w:t>
            </w:r>
          </w:p>
        </w:tc>
        <w:tc>
          <w:tcPr>
            <w:tcW w:w="1985" w:type="dxa"/>
          </w:tcPr>
          <w:p w14:paraId="77CFA6F3" w14:textId="7756C980" w:rsidR="00ED4DB2" w:rsidRPr="00D83ABD" w:rsidRDefault="00ED4DB2" w:rsidP="0001585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t>Співвідно</w:t>
            </w:r>
            <w:r>
              <w:rPr>
                <w:sz w:val="28"/>
                <w:szCs w:val="28"/>
                <w:lang w:val="uk-UA"/>
              </w:rPr>
              <w:t>-</w:t>
            </w:r>
            <w:r w:rsidRPr="00D83ABD">
              <w:rPr>
                <w:sz w:val="28"/>
                <w:szCs w:val="28"/>
                <w:lang w:val="uk-UA"/>
              </w:rPr>
              <w:t xml:space="preserve">шення обсягу прийнятних активів, що відповідають вимогам, </w:t>
            </w:r>
            <w:r>
              <w:rPr>
                <w:sz w:val="28"/>
                <w:szCs w:val="28"/>
                <w:lang w:val="uk-UA"/>
              </w:rPr>
              <w:t>у</w:t>
            </w:r>
            <w:r w:rsidRPr="00D83ABD">
              <w:rPr>
                <w:sz w:val="28"/>
                <w:szCs w:val="28"/>
                <w:lang w:val="uk-UA"/>
              </w:rPr>
              <w:t xml:space="preserve">становленим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D83ABD">
              <w:rPr>
                <w:sz w:val="28"/>
                <w:szCs w:val="28"/>
                <w:lang w:val="uk-UA"/>
              </w:rPr>
              <w:t>розділ</w:t>
            </w:r>
            <w:r>
              <w:rPr>
                <w:sz w:val="28"/>
                <w:szCs w:val="28"/>
                <w:lang w:val="uk-UA"/>
              </w:rPr>
              <w:t>і</w:t>
            </w:r>
            <w:r w:rsidRPr="00D83ABD">
              <w:rPr>
                <w:sz w:val="28"/>
                <w:szCs w:val="28"/>
                <w:lang w:val="uk-UA"/>
              </w:rPr>
              <w:t xml:space="preserve"> ІІ Положення № 850, </w:t>
            </w:r>
            <w:r>
              <w:rPr>
                <w:sz w:val="28"/>
                <w:szCs w:val="28"/>
                <w:lang w:val="uk-UA"/>
              </w:rPr>
              <w:t>і</w:t>
            </w:r>
            <w:r w:rsidRPr="00D83ABD">
              <w:rPr>
                <w:sz w:val="28"/>
                <w:szCs w:val="28"/>
                <w:lang w:val="uk-UA"/>
              </w:rPr>
              <w:t xml:space="preserve"> загального обсягу активів страховика становить до 25% включно</w:t>
            </w:r>
          </w:p>
        </w:tc>
        <w:tc>
          <w:tcPr>
            <w:tcW w:w="1701" w:type="dxa"/>
          </w:tcPr>
          <w:p w14:paraId="7444ACDD" w14:textId="77777777" w:rsidR="00ED4DB2" w:rsidRPr="00D83ABD" w:rsidRDefault="00ED4DB2" w:rsidP="0020517D">
            <w:pPr>
              <w:jc w:val="center"/>
              <w:rPr>
                <w:bCs/>
              </w:rPr>
            </w:pPr>
            <w:r w:rsidRPr="00D83ABD">
              <w:rPr>
                <w:bCs/>
              </w:rPr>
              <w:t>15</w:t>
            </w:r>
          </w:p>
        </w:tc>
      </w:tr>
    </w:tbl>
    <w:p w14:paraId="221F1779" w14:textId="6DB3EE3D" w:rsidR="00ED4DB2" w:rsidRDefault="00ED4DB2" w:rsidP="00ED4DB2">
      <w:pPr>
        <w:jc w:val="center"/>
      </w:pPr>
    </w:p>
    <w:p w14:paraId="183E4D74" w14:textId="77777777" w:rsidR="001B1073" w:rsidRPr="00D83ABD" w:rsidRDefault="001B1073" w:rsidP="00ED4DB2">
      <w:pPr>
        <w:jc w:val="center"/>
      </w:pPr>
    </w:p>
    <w:p w14:paraId="1DD43E72" w14:textId="5461A6A5" w:rsidR="00ED4DB2" w:rsidRDefault="00ED4DB2" w:rsidP="00ED4DB2">
      <w:pPr>
        <w:jc w:val="center"/>
        <w:rPr>
          <w:bCs/>
          <w:color w:val="000000"/>
          <w:shd w:val="clear" w:color="auto" w:fill="FFFFFF"/>
        </w:rPr>
      </w:pPr>
      <w:r w:rsidRPr="00D83ABD">
        <w:t xml:space="preserve">Пояснення до критеріїв </w:t>
      </w:r>
      <w:r w:rsidRPr="00D83ABD">
        <w:rPr>
          <w:bCs/>
          <w:color w:val="000000"/>
          <w:shd w:val="clear" w:color="auto" w:fill="FFFFFF"/>
        </w:rPr>
        <w:t>оцін</w:t>
      </w:r>
      <w:r>
        <w:rPr>
          <w:bCs/>
          <w:color w:val="000000"/>
          <w:shd w:val="clear" w:color="auto" w:fill="FFFFFF"/>
        </w:rPr>
        <w:t>ювання</w:t>
      </w:r>
      <w:r w:rsidRPr="00D83ABD">
        <w:rPr>
          <w:bCs/>
          <w:color w:val="000000"/>
          <w:shd w:val="clear" w:color="auto" w:fill="FFFFFF"/>
        </w:rPr>
        <w:t xml:space="preserve"> ступен</w:t>
      </w:r>
      <w:r>
        <w:rPr>
          <w:bCs/>
          <w:color w:val="000000"/>
          <w:shd w:val="clear" w:color="auto" w:fill="FFFFFF"/>
        </w:rPr>
        <w:t>я</w:t>
      </w:r>
      <w:r w:rsidRPr="00D83ABD">
        <w:rPr>
          <w:bCs/>
          <w:color w:val="000000"/>
          <w:shd w:val="clear" w:color="auto" w:fill="FFFFFF"/>
        </w:rPr>
        <w:t xml:space="preserve"> ризику страховика</w:t>
      </w:r>
    </w:p>
    <w:p w14:paraId="4142DC63" w14:textId="77777777" w:rsidR="00A74EE9" w:rsidRPr="00D83ABD" w:rsidRDefault="00A74EE9" w:rsidP="00ED4DB2">
      <w:pPr>
        <w:jc w:val="center"/>
      </w:pPr>
    </w:p>
    <w:p w14:paraId="726C6BCF" w14:textId="6DB9AF38" w:rsidR="00ED4DB2" w:rsidRDefault="00ED4DB2" w:rsidP="003B0FDF">
      <w:pPr>
        <w:pStyle w:val="af3"/>
        <w:numPr>
          <w:ilvl w:val="0"/>
          <w:numId w:val="32"/>
        </w:numPr>
        <w:ind w:left="0" w:firstLine="567"/>
      </w:pPr>
      <w:r w:rsidRPr="00A020D7">
        <w:t>Чисті страхові премії розраховані як валові страхові премії за мінусом частки страхових премій</w:t>
      </w:r>
      <w:r w:rsidR="007450AD">
        <w:t>,</w:t>
      </w:r>
      <w:r w:rsidRPr="00A020D7">
        <w:t xml:space="preserve"> належних перестраховикам-резидентам.</w:t>
      </w:r>
    </w:p>
    <w:p w14:paraId="4470E095" w14:textId="77777777" w:rsidR="00EB3BA1" w:rsidRPr="007A4951" w:rsidRDefault="00EB3BA1" w:rsidP="00EB3BA1">
      <w:pPr>
        <w:pStyle w:val="af3"/>
        <w:ind w:left="567"/>
        <w:jc w:val="left"/>
        <w:rPr>
          <w:lang w:val="ru-RU"/>
        </w:rPr>
      </w:pPr>
    </w:p>
    <w:p w14:paraId="1A3DB822" w14:textId="77777777" w:rsidR="00EB3BA1" w:rsidRPr="00EB3BA1" w:rsidRDefault="00EB3BA1" w:rsidP="00ED4DB2">
      <w:pPr>
        <w:rPr>
          <w:lang w:val="ru-RU"/>
        </w:rPr>
        <w:sectPr w:rsidR="00EB3BA1" w:rsidRPr="00EB3BA1" w:rsidSect="00D604F2">
          <w:headerReference w:type="default" r:id="rId16"/>
          <w:pgSz w:w="16838" w:h="11906" w:orient="landscape" w:code="9"/>
          <w:pgMar w:top="567" w:right="567" w:bottom="1701" w:left="1701" w:header="284" w:footer="709" w:gutter="0"/>
          <w:pgNumType w:start="1"/>
          <w:cols w:space="708"/>
          <w:titlePg/>
          <w:docGrid w:linePitch="381"/>
        </w:sectPr>
      </w:pPr>
    </w:p>
    <w:p w14:paraId="4CCDBE6E" w14:textId="77777777" w:rsidR="00ED4DB2" w:rsidRPr="00D83ABD" w:rsidRDefault="00ED4DB2" w:rsidP="000F32CC">
      <w:pPr>
        <w:pStyle w:val="af3"/>
        <w:ind w:left="9356"/>
      </w:pPr>
      <w:r w:rsidRPr="00D83ABD">
        <w:lastRenderedPageBreak/>
        <w:t>Додаток 2</w:t>
      </w:r>
    </w:p>
    <w:p w14:paraId="0C0F56C9" w14:textId="71452630" w:rsidR="00ED4DB2" w:rsidRPr="00D83ABD" w:rsidRDefault="00ED4DB2" w:rsidP="000F32CC">
      <w:pPr>
        <w:keepNext/>
        <w:ind w:left="9356"/>
        <w:outlineLvl w:val="2"/>
        <w:rPr>
          <w:b/>
          <w:bCs/>
          <w:color w:val="000000"/>
        </w:rPr>
      </w:pPr>
      <w:r w:rsidRPr="00D83ABD">
        <w:t xml:space="preserve">до </w:t>
      </w:r>
      <w:r w:rsidRPr="00D83ABD">
        <w:rPr>
          <w:bCs/>
          <w:color w:val="000000"/>
        </w:rPr>
        <w:t xml:space="preserve">Положення про встановлення критеріїв, за якими </w:t>
      </w:r>
      <w:r w:rsidRPr="00AE4928">
        <w:rPr>
          <w:bCs/>
        </w:rPr>
        <w:t xml:space="preserve">оцінюється ступінь ризику від здійснення діяльності учасниками ринку небанківських фінансових послуг, їх </w:t>
      </w:r>
      <w:r w:rsidR="00F436AF" w:rsidRPr="00AE4928">
        <w:rPr>
          <w:bCs/>
        </w:rPr>
        <w:t>суспільн</w:t>
      </w:r>
      <w:r w:rsidR="00F436AF">
        <w:rPr>
          <w:bCs/>
        </w:rPr>
        <w:t>а</w:t>
      </w:r>
      <w:r w:rsidR="00F436AF" w:rsidRPr="00AE4928">
        <w:rPr>
          <w:bCs/>
        </w:rPr>
        <w:t xml:space="preserve"> </w:t>
      </w:r>
      <w:r w:rsidRPr="00AE4928">
        <w:rPr>
          <w:bCs/>
        </w:rPr>
        <w:t>важливість</w:t>
      </w:r>
    </w:p>
    <w:p w14:paraId="438101CF" w14:textId="4FB5D43B" w:rsidR="00ED4DB2" w:rsidRPr="00D83ABD" w:rsidRDefault="00ED4DB2" w:rsidP="000F32CC">
      <w:pPr>
        <w:pStyle w:val="af3"/>
        <w:ind w:left="9356"/>
        <w:rPr>
          <w:b/>
          <w:bCs/>
          <w:color w:val="000000"/>
          <w:shd w:val="clear" w:color="auto" w:fill="FFFFFF"/>
        </w:rPr>
      </w:pPr>
      <w:r w:rsidRPr="00D83ABD">
        <w:t xml:space="preserve">(пункт </w:t>
      </w:r>
      <w:r w:rsidR="0063305B">
        <w:t>10</w:t>
      </w:r>
      <w:r w:rsidR="0063305B" w:rsidRPr="00D83ABD">
        <w:t xml:space="preserve"> </w:t>
      </w:r>
      <w:r w:rsidRPr="00D83ABD">
        <w:t>розділу II)</w:t>
      </w:r>
    </w:p>
    <w:p w14:paraId="472F4328" w14:textId="77777777" w:rsidR="00ED4DB2" w:rsidRPr="00D83ABD" w:rsidRDefault="00ED4DB2" w:rsidP="00ED4DB2"/>
    <w:p w14:paraId="7B303104" w14:textId="5EB64930" w:rsidR="00ED4DB2" w:rsidRDefault="00ED4DB2" w:rsidP="00ED4DB2">
      <w:pPr>
        <w:jc w:val="center"/>
        <w:rPr>
          <w:bCs/>
          <w:color w:val="000000"/>
          <w:shd w:val="clear" w:color="auto" w:fill="FFFFFF"/>
        </w:rPr>
      </w:pPr>
      <w:r w:rsidRPr="00D83ABD">
        <w:rPr>
          <w:bCs/>
          <w:color w:val="000000"/>
          <w:shd w:val="clear" w:color="auto" w:fill="FFFFFF"/>
        </w:rPr>
        <w:t>Критерії оцін</w:t>
      </w:r>
      <w:r>
        <w:rPr>
          <w:bCs/>
          <w:color w:val="000000"/>
          <w:shd w:val="clear" w:color="auto" w:fill="FFFFFF"/>
        </w:rPr>
        <w:t>ювання</w:t>
      </w:r>
      <w:r w:rsidRPr="00D83ABD">
        <w:rPr>
          <w:bCs/>
          <w:color w:val="000000"/>
          <w:shd w:val="clear" w:color="auto" w:fill="FFFFFF"/>
        </w:rPr>
        <w:t xml:space="preserve"> ступен</w:t>
      </w:r>
      <w:r>
        <w:rPr>
          <w:bCs/>
          <w:color w:val="000000"/>
          <w:shd w:val="clear" w:color="auto" w:fill="FFFFFF"/>
        </w:rPr>
        <w:t>я</w:t>
      </w:r>
      <w:r w:rsidRPr="00D83ABD">
        <w:rPr>
          <w:bCs/>
          <w:color w:val="000000"/>
          <w:shd w:val="clear" w:color="auto" w:fill="FFFFFF"/>
        </w:rPr>
        <w:t xml:space="preserve"> ризику кредитної спілки</w:t>
      </w:r>
    </w:p>
    <w:p w14:paraId="12229945" w14:textId="77777777" w:rsidR="00E07739" w:rsidRPr="00D83ABD" w:rsidRDefault="00E07739" w:rsidP="00ED4DB2">
      <w:pPr>
        <w:jc w:val="center"/>
        <w:rPr>
          <w:bCs/>
          <w:color w:val="000000"/>
          <w:shd w:val="clear" w:color="auto" w:fill="FFFFFF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"/>
        <w:gridCol w:w="992"/>
        <w:gridCol w:w="1956"/>
        <w:gridCol w:w="1985"/>
        <w:gridCol w:w="2693"/>
        <w:gridCol w:w="2438"/>
        <w:gridCol w:w="2410"/>
        <w:gridCol w:w="1418"/>
      </w:tblGrid>
      <w:tr w:rsidR="00ED4DB2" w:rsidRPr="00D83ABD" w14:paraId="0EBE4C32" w14:textId="77777777" w:rsidTr="003B0FDF">
        <w:tc>
          <w:tcPr>
            <w:tcW w:w="704" w:type="dxa"/>
            <w:vAlign w:val="center"/>
          </w:tcPr>
          <w:p w14:paraId="02D55E58" w14:textId="77777777" w:rsidR="00ED4DB2" w:rsidRDefault="00ED4DB2" w:rsidP="00B54343">
            <w:pPr>
              <w:jc w:val="center"/>
            </w:pPr>
            <w:r w:rsidRPr="00D83ABD">
              <w:t>№</w:t>
            </w:r>
          </w:p>
          <w:p w14:paraId="4E90FB0F" w14:textId="77777777" w:rsidR="00ED4DB2" w:rsidRPr="00D83ABD" w:rsidRDefault="00ED4DB2">
            <w:pPr>
              <w:jc w:val="center"/>
            </w:pPr>
            <w:r w:rsidRPr="00D83ABD">
              <w:t>з/п</w:t>
            </w:r>
          </w:p>
        </w:tc>
        <w:tc>
          <w:tcPr>
            <w:tcW w:w="992" w:type="dxa"/>
            <w:vAlign w:val="center"/>
          </w:tcPr>
          <w:p w14:paraId="2AFC44EC" w14:textId="77777777" w:rsidR="00ED4DB2" w:rsidRDefault="00ED4DB2" w:rsidP="003B0FDF">
            <w:pPr>
              <w:ind w:left="-57"/>
              <w:jc w:val="center"/>
            </w:pPr>
            <w:r w:rsidRPr="00D83ABD">
              <w:t>№</w:t>
            </w:r>
          </w:p>
          <w:p w14:paraId="2AECCD61" w14:textId="4E80EED3" w:rsidR="00ED4DB2" w:rsidRDefault="00ED4DB2" w:rsidP="003B0FDF">
            <w:pPr>
              <w:ind w:left="-57" w:right="-111"/>
              <w:jc w:val="center"/>
            </w:pPr>
            <w:r>
              <w:t>к</w:t>
            </w:r>
            <w:r w:rsidRPr="00D83ABD">
              <w:t>ри</w:t>
            </w:r>
            <w:r>
              <w:t>-</w:t>
            </w:r>
            <w:r w:rsidRPr="00D83ABD">
              <w:t>теріїв</w:t>
            </w:r>
            <w:r w:rsidR="0050620C">
              <w:t> </w:t>
            </w:r>
            <w:r w:rsidRPr="00D83ABD">
              <w:t>/</w:t>
            </w:r>
            <w:r w:rsidR="000F32CC">
              <w:t xml:space="preserve"> </w:t>
            </w:r>
            <w:r w:rsidRPr="00D83ABD">
              <w:t>показ</w:t>
            </w:r>
            <w:r>
              <w:t>-</w:t>
            </w:r>
            <w:r w:rsidRPr="00D83ABD">
              <w:t>ників</w:t>
            </w:r>
          </w:p>
        </w:tc>
        <w:tc>
          <w:tcPr>
            <w:tcW w:w="1956" w:type="dxa"/>
            <w:vAlign w:val="center"/>
          </w:tcPr>
          <w:p w14:paraId="7C99585A" w14:textId="77777777" w:rsidR="00ED4DB2" w:rsidRPr="00D83ABD" w:rsidRDefault="00ED4DB2">
            <w:pPr>
              <w:jc w:val="center"/>
            </w:pPr>
            <w:r w:rsidRPr="00D83ABD">
              <w:t>Назви критеріїв та їх показників</w:t>
            </w:r>
          </w:p>
        </w:tc>
        <w:tc>
          <w:tcPr>
            <w:tcW w:w="1985" w:type="dxa"/>
            <w:vAlign w:val="center"/>
          </w:tcPr>
          <w:p w14:paraId="1335BD15" w14:textId="77777777" w:rsidR="00ED4DB2" w:rsidRDefault="00ED4DB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“1”</w:t>
            </w:r>
          </w:p>
          <w:p w14:paraId="0FA38CAC" w14:textId="77777777" w:rsidR="00ED4DB2" w:rsidRDefault="00ED4DB2">
            <w:pPr>
              <w:spacing w:after="120"/>
              <w:jc w:val="center"/>
              <w:rPr>
                <w:bCs/>
              </w:rPr>
            </w:pPr>
            <w:r w:rsidRPr="00D83ABD">
              <w:rPr>
                <w:bCs/>
              </w:rPr>
              <w:t>(низький ступінь ризику)</w:t>
            </w:r>
          </w:p>
        </w:tc>
        <w:tc>
          <w:tcPr>
            <w:tcW w:w="2693" w:type="dxa"/>
            <w:vAlign w:val="center"/>
          </w:tcPr>
          <w:p w14:paraId="2A30F5A9" w14:textId="77777777" w:rsidR="00ED4DB2" w:rsidRDefault="00ED4DB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“2”</w:t>
            </w:r>
          </w:p>
          <w:p w14:paraId="334D0AB8" w14:textId="77777777" w:rsidR="00ED4DB2" w:rsidRPr="00D83ABD" w:rsidRDefault="00ED4DB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(середній ступінь ризику)</w:t>
            </w:r>
          </w:p>
        </w:tc>
        <w:tc>
          <w:tcPr>
            <w:tcW w:w="2438" w:type="dxa"/>
            <w:vAlign w:val="center"/>
          </w:tcPr>
          <w:p w14:paraId="14F415D0" w14:textId="77777777" w:rsidR="00ED4DB2" w:rsidRDefault="00ED4DB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“3”</w:t>
            </w:r>
          </w:p>
          <w:p w14:paraId="72F582A8" w14:textId="77777777" w:rsidR="00ED4DB2" w:rsidRPr="00D83ABD" w:rsidRDefault="00ED4DB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(високий ступінь ризику)</w:t>
            </w:r>
          </w:p>
        </w:tc>
        <w:tc>
          <w:tcPr>
            <w:tcW w:w="2410" w:type="dxa"/>
            <w:vAlign w:val="center"/>
          </w:tcPr>
          <w:p w14:paraId="2533F0FA" w14:textId="77777777" w:rsidR="00ED4DB2" w:rsidRDefault="00ED4DB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“4”</w:t>
            </w:r>
          </w:p>
          <w:p w14:paraId="54B062C3" w14:textId="77777777" w:rsidR="00ED4DB2" w:rsidRPr="00D83ABD" w:rsidRDefault="00ED4DB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(критичний ступінь ризику)</w:t>
            </w:r>
          </w:p>
        </w:tc>
        <w:tc>
          <w:tcPr>
            <w:tcW w:w="1418" w:type="dxa"/>
            <w:vAlign w:val="center"/>
          </w:tcPr>
          <w:p w14:paraId="0DC9B8AC" w14:textId="1A136626" w:rsidR="00ED4DB2" w:rsidRPr="00D83ABD" w:rsidRDefault="00ED4DB2" w:rsidP="003B0FDF">
            <w:pPr>
              <w:ind w:left="-57" w:right="-57"/>
              <w:jc w:val="center"/>
              <w:rPr>
                <w:bCs/>
              </w:rPr>
            </w:pPr>
            <w:r w:rsidRPr="00D83ABD">
              <w:rPr>
                <w:bCs/>
              </w:rPr>
              <w:t>Вага критерію в ступені ризику</w:t>
            </w:r>
            <w:r w:rsidR="00971DC6">
              <w:rPr>
                <w:bCs/>
              </w:rPr>
              <w:t> </w:t>
            </w:r>
            <w:r w:rsidRPr="00D83ABD">
              <w:rPr>
                <w:bCs/>
              </w:rPr>
              <w:t xml:space="preserve">/ </w:t>
            </w:r>
            <w:r>
              <w:rPr>
                <w:bCs/>
              </w:rPr>
              <w:t>в</w:t>
            </w:r>
            <w:r w:rsidRPr="00D83ABD">
              <w:rPr>
                <w:bCs/>
              </w:rPr>
              <w:t>ага показника в критерії, %</w:t>
            </w:r>
          </w:p>
        </w:tc>
      </w:tr>
    </w:tbl>
    <w:p w14:paraId="357DC600" w14:textId="77777777" w:rsidR="00ED4DB2" w:rsidRPr="00D83ABD" w:rsidRDefault="00ED4DB2" w:rsidP="00ED4DB2">
      <w:pPr>
        <w:rPr>
          <w:sz w:val="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"/>
        <w:gridCol w:w="992"/>
        <w:gridCol w:w="1956"/>
        <w:gridCol w:w="1985"/>
        <w:gridCol w:w="2693"/>
        <w:gridCol w:w="2438"/>
        <w:gridCol w:w="2381"/>
        <w:gridCol w:w="29"/>
        <w:gridCol w:w="1418"/>
      </w:tblGrid>
      <w:tr w:rsidR="00ED4DB2" w:rsidRPr="00D83ABD" w14:paraId="4A1DA543" w14:textId="77777777" w:rsidTr="003B0FDF">
        <w:trPr>
          <w:trHeight w:val="319"/>
          <w:tblHeader/>
        </w:trPr>
        <w:tc>
          <w:tcPr>
            <w:tcW w:w="704" w:type="dxa"/>
          </w:tcPr>
          <w:p w14:paraId="3521AB71" w14:textId="77777777" w:rsidR="00ED4DB2" w:rsidRPr="00D83ABD" w:rsidRDefault="00ED4DB2" w:rsidP="000F32CC">
            <w:pPr>
              <w:jc w:val="center"/>
            </w:pPr>
            <w:r w:rsidRPr="00D83ABD">
              <w:t>1</w:t>
            </w:r>
          </w:p>
        </w:tc>
        <w:tc>
          <w:tcPr>
            <w:tcW w:w="992" w:type="dxa"/>
          </w:tcPr>
          <w:p w14:paraId="67BAE5CA" w14:textId="77777777" w:rsidR="00ED4DB2" w:rsidRPr="00D83ABD" w:rsidRDefault="00ED4DB2" w:rsidP="000F32CC">
            <w:pPr>
              <w:jc w:val="center"/>
            </w:pPr>
            <w:r w:rsidRPr="00D83ABD">
              <w:t>2</w:t>
            </w:r>
          </w:p>
        </w:tc>
        <w:tc>
          <w:tcPr>
            <w:tcW w:w="1956" w:type="dxa"/>
          </w:tcPr>
          <w:p w14:paraId="080E6B20" w14:textId="77777777" w:rsidR="00ED4DB2" w:rsidRPr="00D83ABD" w:rsidRDefault="00ED4DB2" w:rsidP="000F32CC">
            <w:pPr>
              <w:jc w:val="center"/>
            </w:pPr>
            <w:r w:rsidRPr="00D83ABD">
              <w:t>3</w:t>
            </w:r>
          </w:p>
        </w:tc>
        <w:tc>
          <w:tcPr>
            <w:tcW w:w="1985" w:type="dxa"/>
          </w:tcPr>
          <w:p w14:paraId="2C305DF4" w14:textId="77777777" w:rsidR="00ED4DB2" w:rsidRPr="00D83ABD" w:rsidRDefault="00ED4DB2" w:rsidP="000F32CC">
            <w:pPr>
              <w:jc w:val="center"/>
              <w:rPr>
                <w:bCs/>
              </w:rPr>
            </w:pPr>
            <w:r w:rsidRPr="00D83ABD">
              <w:rPr>
                <w:bCs/>
              </w:rPr>
              <w:t>4</w:t>
            </w:r>
          </w:p>
        </w:tc>
        <w:tc>
          <w:tcPr>
            <w:tcW w:w="2693" w:type="dxa"/>
          </w:tcPr>
          <w:p w14:paraId="56911D60" w14:textId="77777777" w:rsidR="00ED4DB2" w:rsidRPr="00D83ABD" w:rsidRDefault="00ED4DB2" w:rsidP="000F32CC">
            <w:pPr>
              <w:jc w:val="center"/>
              <w:rPr>
                <w:bCs/>
              </w:rPr>
            </w:pPr>
            <w:r w:rsidRPr="00D83ABD">
              <w:rPr>
                <w:bCs/>
              </w:rPr>
              <w:t>5</w:t>
            </w:r>
          </w:p>
        </w:tc>
        <w:tc>
          <w:tcPr>
            <w:tcW w:w="2438" w:type="dxa"/>
          </w:tcPr>
          <w:p w14:paraId="1820CD82" w14:textId="77777777" w:rsidR="00ED4DB2" w:rsidRPr="00D83ABD" w:rsidRDefault="00ED4DB2" w:rsidP="000F32CC">
            <w:pPr>
              <w:jc w:val="center"/>
              <w:rPr>
                <w:bCs/>
              </w:rPr>
            </w:pPr>
            <w:r w:rsidRPr="00D83ABD">
              <w:rPr>
                <w:bCs/>
              </w:rPr>
              <w:t>6</w:t>
            </w:r>
          </w:p>
        </w:tc>
        <w:tc>
          <w:tcPr>
            <w:tcW w:w="2410" w:type="dxa"/>
            <w:gridSpan w:val="2"/>
          </w:tcPr>
          <w:p w14:paraId="3D78C1B4" w14:textId="77777777" w:rsidR="00ED4DB2" w:rsidRPr="00D83ABD" w:rsidRDefault="00ED4DB2" w:rsidP="000F32CC">
            <w:pPr>
              <w:jc w:val="center"/>
              <w:rPr>
                <w:bCs/>
              </w:rPr>
            </w:pPr>
            <w:r w:rsidRPr="00D83ABD">
              <w:rPr>
                <w:bCs/>
              </w:rPr>
              <w:t>7</w:t>
            </w:r>
          </w:p>
        </w:tc>
        <w:tc>
          <w:tcPr>
            <w:tcW w:w="1418" w:type="dxa"/>
          </w:tcPr>
          <w:p w14:paraId="5CABE92F" w14:textId="77777777" w:rsidR="00ED4DB2" w:rsidRPr="00D83ABD" w:rsidRDefault="00ED4DB2" w:rsidP="000F32CC">
            <w:pPr>
              <w:jc w:val="center"/>
              <w:rPr>
                <w:bCs/>
              </w:rPr>
            </w:pPr>
            <w:r w:rsidRPr="00D83ABD">
              <w:rPr>
                <w:bCs/>
              </w:rPr>
              <w:t>8</w:t>
            </w:r>
          </w:p>
        </w:tc>
      </w:tr>
      <w:tr w:rsidR="00ED4DB2" w:rsidRPr="00D83ABD" w14:paraId="6962B344" w14:textId="77777777" w:rsidTr="003B0FDF">
        <w:tc>
          <w:tcPr>
            <w:tcW w:w="704" w:type="dxa"/>
          </w:tcPr>
          <w:p w14:paraId="6E59D879" w14:textId="77777777" w:rsidR="00ED4DB2" w:rsidRPr="00D83ABD" w:rsidRDefault="00ED4DB2" w:rsidP="000F32CC">
            <w:pPr>
              <w:jc w:val="center"/>
            </w:pPr>
            <w:r w:rsidRPr="00D83ABD">
              <w:t>1</w:t>
            </w:r>
          </w:p>
        </w:tc>
        <w:tc>
          <w:tcPr>
            <w:tcW w:w="992" w:type="dxa"/>
          </w:tcPr>
          <w:p w14:paraId="07D291B2" w14:textId="77777777" w:rsidR="00ED4DB2" w:rsidRPr="00D83ABD" w:rsidRDefault="00ED4DB2" w:rsidP="000F32CC">
            <w:pPr>
              <w:jc w:val="center"/>
            </w:pPr>
            <w:r w:rsidRPr="00D83ABD">
              <w:t>1</w:t>
            </w:r>
          </w:p>
        </w:tc>
        <w:tc>
          <w:tcPr>
            <w:tcW w:w="11482" w:type="dxa"/>
            <w:gridSpan w:val="6"/>
            <w:shd w:val="clear" w:color="auto" w:fill="auto"/>
          </w:tcPr>
          <w:p w14:paraId="342C1755" w14:textId="071C9DE4" w:rsidR="00ED4DB2" w:rsidRPr="00D83ABD" w:rsidRDefault="00ED4DB2" w:rsidP="00675AAC">
            <w:pPr>
              <w:rPr>
                <w:bCs/>
              </w:rPr>
            </w:pPr>
            <w:r w:rsidRPr="00D83ABD">
              <w:t>Стан управління ризиками та внутрішнього контролю</w:t>
            </w:r>
          </w:p>
        </w:tc>
        <w:tc>
          <w:tcPr>
            <w:tcW w:w="1418" w:type="dxa"/>
          </w:tcPr>
          <w:p w14:paraId="1A87DE2A" w14:textId="77777777" w:rsidR="00ED4DB2" w:rsidRPr="00D83ABD" w:rsidRDefault="00ED4DB2" w:rsidP="000F32CC">
            <w:pPr>
              <w:jc w:val="center"/>
              <w:rPr>
                <w:bCs/>
              </w:rPr>
            </w:pPr>
            <w:r w:rsidRPr="00D83ABD">
              <w:rPr>
                <w:bCs/>
              </w:rPr>
              <w:t>10</w:t>
            </w:r>
          </w:p>
        </w:tc>
      </w:tr>
      <w:tr w:rsidR="001D20DD" w:rsidRPr="00D83ABD" w14:paraId="4D03C298" w14:textId="77777777" w:rsidTr="003B0FDF">
        <w:tc>
          <w:tcPr>
            <w:tcW w:w="704" w:type="dxa"/>
          </w:tcPr>
          <w:p w14:paraId="0A8438E2" w14:textId="77777777" w:rsidR="001D20DD" w:rsidRPr="00D83ABD" w:rsidRDefault="001D20DD" w:rsidP="000F32CC">
            <w:pPr>
              <w:jc w:val="center"/>
            </w:pPr>
            <w:r w:rsidRPr="00D83ABD">
              <w:t>2</w:t>
            </w:r>
          </w:p>
        </w:tc>
        <w:tc>
          <w:tcPr>
            <w:tcW w:w="992" w:type="dxa"/>
          </w:tcPr>
          <w:p w14:paraId="0D86EF46" w14:textId="77777777" w:rsidR="001D20DD" w:rsidRPr="00D83ABD" w:rsidRDefault="001D20DD" w:rsidP="000F32CC">
            <w:r w:rsidRPr="00D83ABD">
              <w:t>1.1</w:t>
            </w:r>
          </w:p>
        </w:tc>
        <w:tc>
          <w:tcPr>
            <w:tcW w:w="1956" w:type="dxa"/>
          </w:tcPr>
          <w:p w14:paraId="0C961A9D" w14:textId="77777777" w:rsidR="001D20DD" w:rsidRPr="00BB7575" w:rsidRDefault="001D20DD" w:rsidP="000F32CC">
            <w:r w:rsidRPr="0077695F">
              <w:t>Виконання заходів впливу</w:t>
            </w:r>
          </w:p>
        </w:tc>
        <w:tc>
          <w:tcPr>
            <w:tcW w:w="1985" w:type="dxa"/>
          </w:tcPr>
          <w:p w14:paraId="7587A5C4" w14:textId="77777777" w:rsidR="001D20DD" w:rsidRPr="00A61A7D" w:rsidRDefault="001D20DD" w:rsidP="000F32CC">
            <w:r w:rsidRPr="0077695F">
              <w:t>Протягом періоду оцінювання до кредитної спілки не застосову</w:t>
            </w:r>
            <w:r>
              <w:t>-</w:t>
            </w:r>
            <w:r w:rsidRPr="0077695F">
              <w:t>валися заходи впливу</w:t>
            </w:r>
          </w:p>
        </w:tc>
        <w:tc>
          <w:tcPr>
            <w:tcW w:w="2693" w:type="dxa"/>
          </w:tcPr>
          <w:p w14:paraId="6FEF3AE6" w14:textId="77777777" w:rsidR="001D20DD" w:rsidRPr="00D13FCB" w:rsidRDefault="001D20DD" w:rsidP="000F32CC">
            <w:r w:rsidRPr="0077695F">
              <w:t xml:space="preserve">Протягом періоду оцінювання до кредитної спілки було застосовано один захід впливу, який станом на дату оцінювання виконано або строк </w:t>
            </w:r>
            <w:r w:rsidRPr="0077695F">
              <w:lastRenderedPageBreak/>
              <w:t>виконання за яким ще не настав</w:t>
            </w:r>
          </w:p>
        </w:tc>
        <w:tc>
          <w:tcPr>
            <w:tcW w:w="2438" w:type="dxa"/>
          </w:tcPr>
          <w:p w14:paraId="47B37C92" w14:textId="77777777" w:rsidR="001D20DD" w:rsidRPr="001F6BBD" w:rsidRDefault="001D20DD" w:rsidP="000F32CC">
            <w:r w:rsidRPr="0077695F">
              <w:lastRenderedPageBreak/>
              <w:t>Протягом періоду оцінювання до кредитної спілки було застосовано два і більше заходів впливу, які станом на дату оцінювання виконан</w:t>
            </w:r>
            <w:r>
              <w:t xml:space="preserve">о або </w:t>
            </w:r>
            <w:r>
              <w:lastRenderedPageBreak/>
              <w:t>строк виконання за якими ще не настав</w:t>
            </w:r>
          </w:p>
        </w:tc>
        <w:tc>
          <w:tcPr>
            <w:tcW w:w="2381" w:type="dxa"/>
          </w:tcPr>
          <w:p w14:paraId="4BBEBFFC" w14:textId="352CBA44" w:rsidR="001D20DD" w:rsidRPr="001F6BBD" w:rsidRDefault="001D20DD" w:rsidP="000F32CC">
            <w:r w:rsidRPr="0077695F">
              <w:lastRenderedPageBreak/>
              <w:t>Протягом періоду оцінювання до кредитної спілки було застосовано один (або більше) захід</w:t>
            </w:r>
            <w:r w:rsidR="000B11A8">
              <w:t xml:space="preserve"> (заходів)</w:t>
            </w:r>
            <w:r w:rsidRPr="0077695F">
              <w:t xml:space="preserve"> впливу, який</w:t>
            </w:r>
            <w:r w:rsidR="000B11A8">
              <w:t xml:space="preserve"> (які)</w:t>
            </w:r>
            <w:r w:rsidRPr="0077695F">
              <w:t xml:space="preserve"> станом на дату оцінювання не </w:t>
            </w:r>
            <w:r w:rsidRPr="0077695F">
              <w:lastRenderedPageBreak/>
              <w:t xml:space="preserve">виконано </w:t>
            </w:r>
            <w:r>
              <w:t>в</w:t>
            </w:r>
            <w:r w:rsidRPr="0077695F">
              <w:t xml:space="preserve"> </w:t>
            </w:r>
            <w:r>
              <w:t>у</w:t>
            </w:r>
            <w:r w:rsidRPr="0077695F">
              <w:t>становлений строк</w:t>
            </w:r>
          </w:p>
        </w:tc>
        <w:tc>
          <w:tcPr>
            <w:tcW w:w="1447" w:type="dxa"/>
            <w:gridSpan w:val="2"/>
          </w:tcPr>
          <w:p w14:paraId="6FD8034E" w14:textId="08A959D7" w:rsidR="001D20DD" w:rsidRPr="0077695F" w:rsidRDefault="00BA4833" w:rsidP="000F32CC">
            <w:pPr>
              <w:jc w:val="center"/>
              <w:rPr>
                <w:bCs/>
                <w:color w:val="000000"/>
              </w:rPr>
            </w:pPr>
            <w:r w:rsidRPr="0027082E">
              <w:rPr>
                <w:bCs/>
                <w:color w:val="000000"/>
              </w:rPr>
              <w:lastRenderedPageBreak/>
              <w:t>45</w:t>
            </w:r>
          </w:p>
        </w:tc>
      </w:tr>
      <w:tr w:rsidR="00ED4DB2" w:rsidRPr="00D83ABD" w14:paraId="47267B71" w14:textId="77777777" w:rsidTr="003B0FDF">
        <w:tc>
          <w:tcPr>
            <w:tcW w:w="704" w:type="dxa"/>
          </w:tcPr>
          <w:p w14:paraId="244D136B" w14:textId="77777777" w:rsidR="00ED4DB2" w:rsidRPr="00D83ABD" w:rsidRDefault="00ED4DB2" w:rsidP="000F32CC">
            <w:pPr>
              <w:jc w:val="center"/>
            </w:pPr>
            <w:r w:rsidRPr="00D83ABD">
              <w:t>3</w:t>
            </w:r>
          </w:p>
        </w:tc>
        <w:tc>
          <w:tcPr>
            <w:tcW w:w="992" w:type="dxa"/>
          </w:tcPr>
          <w:p w14:paraId="3BEEAD50" w14:textId="77777777" w:rsidR="00ED4DB2" w:rsidRPr="00D83ABD" w:rsidRDefault="00ED4DB2" w:rsidP="000F32CC">
            <w:r w:rsidRPr="00D83ABD">
              <w:t>1.2</w:t>
            </w:r>
          </w:p>
        </w:tc>
        <w:tc>
          <w:tcPr>
            <w:tcW w:w="1956" w:type="dxa"/>
          </w:tcPr>
          <w:p w14:paraId="4E7BADCE" w14:textId="77777777" w:rsidR="00ED4DB2" w:rsidRPr="00D83ABD" w:rsidRDefault="00ED4DB2" w:rsidP="000F32CC">
            <w:r w:rsidRPr="00D83ABD">
              <w:t>Результати зовнішнього аудиту</w:t>
            </w:r>
          </w:p>
        </w:tc>
        <w:tc>
          <w:tcPr>
            <w:tcW w:w="1985" w:type="dxa"/>
          </w:tcPr>
          <w:p w14:paraId="79C78635" w14:textId="77777777" w:rsidR="00ED4DB2" w:rsidRPr="00D83ABD" w:rsidRDefault="00ED4DB2" w:rsidP="000F32CC">
            <w:r w:rsidRPr="00D83ABD">
              <w:t>Немодифіко</w:t>
            </w:r>
            <w:r>
              <w:t>-</w:t>
            </w:r>
            <w:r w:rsidRPr="00D83ABD">
              <w:t>вана думка</w:t>
            </w:r>
          </w:p>
        </w:tc>
        <w:tc>
          <w:tcPr>
            <w:tcW w:w="2693" w:type="dxa"/>
          </w:tcPr>
          <w:p w14:paraId="76749F4E" w14:textId="49E60E52" w:rsidR="00ED4DB2" w:rsidRPr="00D83ABD" w:rsidRDefault="00ED4DB2" w:rsidP="00711E3D">
            <w:r w:rsidRPr="00D83ABD">
              <w:t>Модифікована думка (із застереженням), але аудитором не зазначено наявн</w:t>
            </w:r>
            <w:r>
              <w:t>ість</w:t>
            </w:r>
            <w:r w:rsidRPr="00D83ABD">
              <w:t xml:space="preserve"> сумнівів </w:t>
            </w:r>
            <w:r>
              <w:t>щодо</w:t>
            </w:r>
            <w:r w:rsidRPr="00D83ABD">
              <w:t xml:space="preserve"> достовірності окремих показників звітності, </w:t>
            </w:r>
            <w:r w:rsidRPr="00D83ABD">
              <w:rPr>
                <w:bCs/>
                <w:color w:val="000000"/>
                <w:shd w:val="clear" w:color="auto" w:fill="FFFFFF"/>
              </w:rPr>
              <w:t>оцін</w:t>
            </w:r>
            <w:r>
              <w:rPr>
                <w:bCs/>
                <w:color w:val="000000"/>
                <w:shd w:val="clear" w:color="auto" w:fill="FFFFFF"/>
              </w:rPr>
              <w:t>ювання</w:t>
            </w:r>
            <w:r w:rsidRPr="00D83ABD">
              <w:t xml:space="preserve"> вартості активів та зобов’язань або сумнівів щодо безперервності діяльності кредитної спілки </w:t>
            </w:r>
            <w:r w:rsidR="00711E3D">
              <w:t>в</w:t>
            </w:r>
            <w:r w:rsidR="00711E3D" w:rsidRPr="00D83ABD">
              <w:t xml:space="preserve"> </w:t>
            </w:r>
            <w:r w:rsidRPr="00D83ABD">
              <w:t xml:space="preserve">майбутньому </w:t>
            </w:r>
          </w:p>
        </w:tc>
        <w:tc>
          <w:tcPr>
            <w:tcW w:w="2438" w:type="dxa"/>
          </w:tcPr>
          <w:p w14:paraId="73105D82" w14:textId="77777777" w:rsidR="00ED4DB2" w:rsidRPr="0027082E" w:rsidRDefault="00ED4DB2" w:rsidP="000F32CC">
            <w:r w:rsidRPr="0027082E">
              <w:t xml:space="preserve">Модифікована думка (із застереженням). За результатами проведеного аудиту є сумніви щодо достовірності окремих показників звітності,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вартості активів та зобов’язань або в аудитора є сумніви щодо безперервності діяльності кредитної спілки в майбутньому</w:t>
            </w:r>
          </w:p>
        </w:tc>
        <w:tc>
          <w:tcPr>
            <w:tcW w:w="2381" w:type="dxa"/>
          </w:tcPr>
          <w:p w14:paraId="55E02CE6" w14:textId="35523018" w:rsidR="00ED4DB2" w:rsidRPr="0027082E" w:rsidRDefault="00ED4DB2" w:rsidP="00041B49">
            <w:r w:rsidRPr="0027082E">
              <w:t>Модифікована думка (негативна або відмова від висловлення думки)</w:t>
            </w:r>
            <w:r w:rsidR="00DA2861" w:rsidRPr="0027082E">
              <w:rPr>
                <w:color w:val="FF0000"/>
              </w:rPr>
              <w:t xml:space="preserve"> </w:t>
            </w:r>
          </w:p>
        </w:tc>
        <w:tc>
          <w:tcPr>
            <w:tcW w:w="1447" w:type="dxa"/>
            <w:gridSpan w:val="2"/>
          </w:tcPr>
          <w:p w14:paraId="14276A52" w14:textId="4CFF7BCD" w:rsidR="00ED4DB2" w:rsidRPr="0027082E" w:rsidRDefault="00BA4833" w:rsidP="000F32CC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35</w:t>
            </w:r>
          </w:p>
        </w:tc>
      </w:tr>
      <w:tr w:rsidR="00ED4DB2" w:rsidRPr="00D83ABD" w14:paraId="7A035F89" w14:textId="77777777" w:rsidTr="003B0FDF">
        <w:tc>
          <w:tcPr>
            <w:tcW w:w="704" w:type="dxa"/>
          </w:tcPr>
          <w:p w14:paraId="2A5A8BF9" w14:textId="77777777" w:rsidR="00ED4DB2" w:rsidRPr="00D83ABD" w:rsidRDefault="00ED4DB2" w:rsidP="000F32CC">
            <w:pPr>
              <w:jc w:val="center"/>
            </w:pPr>
            <w:r w:rsidRPr="00D83ABD">
              <w:lastRenderedPageBreak/>
              <w:t>4</w:t>
            </w:r>
          </w:p>
        </w:tc>
        <w:tc>
          <w:tcPr>
            <w:tcW w:w="992" w:type="dxa"/>
          </w:tcPr>
          <w:p w14:paraId="6EB894D7" w14:textId="77777777" w:rsidR="00ED4DB2" w:rsidRPr="00D83ABD" w:rsidRDefault="00ED4DB2" w:rsidP="000F32CC">
            <w:r w:rsidRPr="00D83ABD">
              <w:t>1.3</w:t>
            </w:r>
          </w:p>
        </w:tc>
        <w:tc>
          <w:tcPr>
            <w:tcW w:w="1956" w:type="dxa"/>
          </w:tcPr>
          <w:p w14:paraId="3A32DD96" w14:textId="4F27941D" w:rsidR="00ED4DB2" w:rsidRPr="0027082E" w:rsidRDefault="00ED4DB2" w:rsidP="00547531">
            <w:pPr>
              <w:rPr>
                <w:color w:val="FF0000"/>
              </w:rPr>
            </w:pPr>
            <w:r w:rsidRPr="0027082E">
              <w:rPr>
                <w:color w:val="000000"/>
              </w:rPr>
              <w:t xml:space="preserve">Подання </w:t>
            </w:r>
            <w:r w:rsidR="00673BD8" w:rsidRPr="0027082E">
              <w:rPr>
                <w:color w:val="000000"/>
              </w:rPr>
              <w:t xml:space="preserve">файлів </w:t>
            </w:r>
            <w:r w:rsidR="00711E3D">
              <w:rPr>
                <w:color w:val="000000"/>
              </w:rPr>
              <w:t>і</w:t>
            </w:r>
            <w:r w:rsidR="00673BD8" w:rsidRPr="0027082E">
              <w:rPr>
                <w:color w:val="000000"/>
              </w:rPr>
              <w:t xml:space="preserve">з показниками звітності </w:t>
            </w:r>
            <w:r w:rsidRPr="0027082E">
              <w:rPr>
                <w:color w:val="000000"/>
              </w:rPr>
              <w:t>та</w:t>
            </w:r>
            <w:r w:rsidR="00673BD8" w:rsidRPr="0027082E">
              <w:rPr>
                <w:color w:val="000000"/>
              </w:rPr>
              <w:t>/або</w:t>
            </w:r>
            <w:r w:rsidR="000D3B14" w:rsidRPr="0027082E">
              <w:rPr>
                <w:color w:val="000000"/>
              </w:rPr>
              <w:t xml:space="preserve"> інших</w:t>
            </w:r>
            <w:r w:rsidRPr="0027082E">
              <w:rPr>
                <w:color w:val="000000"/>
              </w:rPr>
              <w:t xml:space="preserve"> документів</w:t>
            </w:r>
            <w:r w:rsidR="00673BD8" w:rsidRPr="0027082E">
              <w:rPr>
                <w:color w:val="000000"/>
              </w:rPr>
              <w:t>,</w:t>
            </w:r>
            <w:r w:rsidR="00673BD8" w:rsidRPr="0027082E">
              <w:t xml:space="preserve"> </w:t>
            </w:r>
            <w:r w:rsidR="00673BD8" w:rsidRPr="0027082E">
              <w:rPr>
                <w:color w:val="000000"/>
              </w:rPr>
              <w:t>передбачених д</w:t>
            </w:r>
            <w:r w:rsidR="00547531">
              <w:rPr>
                <w:color w:val="000000"/>
              </w:rPr>
              <w:t>ля</w:t>
            </w:r>
            <w:r w:rsidR="00673BD8" w:rsidRPr="0027082E">
              <w:rPr>
                <w:color w:val="000000"/>
              </w:rPr>
              <w:t xml:space="preserve"> </w:t>
            </w:r>
            <w:r w:rsidR="00711E3D">
              <w:rPr>
                <w:color w:val="000000"/>
              </w:rPr>
              <w:t xml:space="preserve">періодичного </w:t>
            </w:r>
            <w:r w:rsidR="00673BD8" w:rsidRPr="0027082E">
              <w:rPr>
                <w:color w:val="000000"/>
              </w:rPr>
              <w:t xml:space="preserve">подання </w:t>
            </w:r>
          </w:p>
        </w:tc>
        <w:tc>
          <w:tcPr>
            <w:tcW w:w="1985" w:type="dxa"/>
          </w:tcPr>
          <w:p w14:paraId="4C6BA978" w14:textId="30CCD88E" w:rsidR="00ED4DB2" w:rsidRPr="0027082E" w:rsidRDefault="00ED4DB2" w:rsidP="00547531">
            <w:pPr>
              <w:rPr>
                <w:color w:val="FF0000"/>
              </w:rPr>
            </w:pPr>
            <w:r w:rsidRPr="0027082E">
              <w:rPr>
                <w:shd w:val="clear" w:color="auto" w:fill="FFFFFF"/>
                <w:lang w:eastAsia="ru-RU"/>
              </w:rPr>
              <w:t xml:space="preserve">Протягом періоду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</w:t>
            </w:r>
            <w:r w:rsidR="0045128D" w:rsidRPr="0027082E">
              <w:t xml:space="preserve">файли з показниками звітності </w:t>
            </w:r>
            <w:r w:rsidRPr="0027082E">
              <w:t>та/або інші документи, передбачені д</w:t>
            </w:r>
            <w:r w:rsidR="00547531">
              <w:t>ля</w:t>
            </w:r>
            <w:r w:rsidRPr="0027082E">
              <w:t xml:space="preserve"> </w:t>
            </w:r>
            <w:r w:rsidR="00711E3D">
              <w:t xml:space="preserve">періодичного </w:t>
            </w:r>
            <w:r w:rsidRPr="0027082E">
              <w:t>подання,</w:t>
            </w:r>
            <w:r w:rsidRPr="0027082E">
              <w:rPr>
                <w:color w:val="000000"/>
              </w:rPr>
              <w:t xml:space="preserve"> </w:t>
            </w:r>
            <w:r w:rsidRPr="0027082E">
              <w:t xml:space="preserve">подавалися </w:t>
            </w:r>
            <w:r w:rsidR="00E37953">
              <w:t xml:space="preserve">до </w:t>
            </w:r>
            <w:r w:rsidRPr="0027082E">
              <w:t>Національно-</w:t>
            </w:r>
            <w:r w:rsidR="00E37953">
              <w:t>го</w:t>
            </w:r>
            <w:r w:rsidRPr="0027082E">
              <w:t xml:space="preserve"> банку</w:t>
            </w:r>
            <w:r w:rsidR="00711E3D">
              <w:t xml:space="preserve"> </w:t>
            </w:r>
            <w:r w:rsidRPr="0027082E">
              <w:t>вчасно</w:t>
            </w:r>
          </w:p>
        </w:tc>
        <w:tc>
          <w:tcPr>
            <w:tcW w:w="2693" w:type="dxa"/>
          </w:tcPr>
          <w:p w14:paraId="59514299" w14:textId="3039E810" w:rsidR="00ED4DB2" w:rsidRPr="0027082E" w:rsidRDefault="00ED4DB2" w:rsidP="00547531">
            <w:r w:rsidRPr="0027082E">
              <w:rPr>
                <w:shd w:val="clear" w:color="auto" w:fill="FFFFFF"/>
                <w:lang w:eastAsia="ru-RU"/>
              </w:rPr>
              <w:t xml:space="preserve">Протягом періоду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зафіксовано один факт несвоєчасного подання Національному банку </w:t>
            </w:r>
            <w:r w:rsidR="00AF34E2" w:rsidRPr="0027082E">
              <w:rPr>
                <w:color w:val="000000"/>
              </w:rPr>
              <w:t xml:space="preserve">файлів з показниками звітності </w:t>
            </w:r>
            <w:r w:rsidRPr="0027082E">
              <w:t>та/або інших документів, що передбачені д</w:t>
            </w:r>
            <w:r w:rsidR="00547531">
              <w:t>ля</w:t>
            </w:r>
            <w:r w:rsidR="00711E3D">
              <w:t xml:space="preserve"> періодичного</w:t>
            </w:r>
            <w:r w:rsidRPr="0027082E">
              <w:t xml:space="preserve"> подання </w:t>
            </w:r>
          </w:p>
        </w:tc>
        <w:tc>
          <w:tcPr>
            <w:tcW w:w="2438" w:type="dxa"/>
          </w:tcPr>
          <w:p w14:paraId="1D74D7E7" w14:textId="1F08AAEA" w:rsidR="00ED4DB2" w:rsidRPr="0027082E" w:rsidRDefault="00ED4DB2" w:rsidP="00547531">
            <w:pPr>
              <w:rPr>
                <w:color w:val="FF0000"/>
              </w:rPr>
            </w:pPr>
            <w:r w:rsidRPr="0027082E">
              <w:rPr>
                <w:shd w:val="clear" w:color="auto" w:fill="FFFFFF"/>
                <w:lang w:eastAsia="ru-RU"/>
              </w:rPr>
              <w:t xml:space="preserve">Протягом періоду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зафіксовано два або більше фактів несвоєчасного подання Національному банку </w:t>
            </w:r>
            <w:r w:rsidR="00AF34E2" w:rsidRPr="0027082E">
              <w:rPr>
                <w:color w:val="000000"/>
              </w:rPr>
              <w:t xml:space="preserve">файлів </w:t>
            </w:r>
            <w:r w:rsidR="00711E3D">
              <w:rPr>
                <w:color w:val="000000"/>
              </w:rPr>
              <w:t>і</w:t>
            </w:r>
            <w:r w:rsidR="00AF34E2" w:rsidRPr="0027082E">
              <w:rPr>
                <w:color w:val="000000"/>
              </w:rPr>
              <w:t xml:space="preserve">з показниками звітності </w:t>
            </w:r>
            <w:r w:rsidRPr="0027082E">
              <w:t>та/або інших документів, передбачених д</w:t>
            </w:r>
            <w:r w:rsidR="00547531">
              <w:t>ля</w:t>
            </w:r>
            <w:r w:rsidRPr="0027082E">
              <w:t xml:space="preserve"> </w:t>
            </w:r>
            <w:r w:rsidR="00711E3D">
              <w:t xml:space="preserve">періодичного </w:t>
            </w:r>
            <w:r w:rsidRPr="0027082E">
              <w:t xml:space="preserve">подання </w:t>
            </w:r>
          </w:p>
        </w:tc>
        <w:tc>
          <w:tcPr>
            <w:tcW w:w="2381" w:type="dxa"/>
          </w:tcPr>
          <w:p w14:paraId="268B771C" w14:textId="4D93AA56" w:rsidR="00ED4DB2" w:rsidRPr="0027082E" w:rsidRDefault="00ED4DB2" w:rsidP="00547531">
            <w:pPr>
              <w:tabs>
                <w:tab w:val="left" w:pos="6145"/>
              </w:tabs>
              <w:ind w:right="66"/>
              <w:rPr>
                <w:color w:val="FF0000"/>
              </w:rPr>
            </w:pPr>
            <w:r w:rsidRPr="0027082E">
              <w:rPr>
                <w:shd w:val="clear" w:color="auto" w:fill="FFFFFF"/>
                <w:lang w:eastAsia="ru-RU"/>
              </w:rPr>
              <w:t xml:space="preserve">Протягом періоду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зафіксовано один або більше фактів неповного подання</w:t>
            </w:r>
            <w:r w:rsidR="00BF776C">
              <w:t> </w:t>
            </w:r>
            <w:r w:rsidRPr="0027082E">
              <w:t>/ неподання Національному банку інших документів, що передбачені д</w:t>
            </w:r>
            <w:r w:rsidR="00547531">
              <w:t>ля</w:t>
            </w:r>
            <w:r w:rsidRPr="0027082E">
              <w:t xml:space="preserve"> </w:t>
            </w:r>
            <w:r w:rsidR="00711E3D">
              <w:t xml:space="preserve">періодичного </w:t>
            </w:r>
            <w:r w:rsidRPr="0027082E">
              <w:t xml:space="preserve">подання </w:t>
            </w:r>
            <w:r w:rsidR="00AF34E2" w:rsidRPr="0027082E">
              <w:t>(</w:t>
            </w:r>
            <w:r w:rsidR="00711E3D">
              <w:t>крім</w:t>
            </w:r>
            <w:r w:rsidR="00AF34E2" w:rsidRPr="0027082E">
              <w:t xml:space="preserve"> </w:t>
            </w:r>
            <w:r w:rsidR="00AF34E2" w:rsidRPr="0027082E">
              <w:rPr>
                <w:color w:val="000000"/>
              </w:rPr>
              <w:t xml:space="preserve">файлів </w:t>
            </w:r>
            <w:r w:rsidR="00711E3D">
              <w:rPr>
                <w:color w:val="000000"/>
              </w:rPr>
              <w:t>і</w:t>
            </w:r>
            <w:r w:rsidR="00AF34E2" w:rsidRPr="0027082E">
              <w:rPr>
                <w:color w:val="000000"/>
              </w:rPr>
              <w:t xml:space="preserve">з показниками звітності, </w:t>
            </w:r>
            <w:r w:rsidRPr="0027082E">
              <w:t xml:space="preserve"> аудиторського звіту щодо проведення обов’язкового аудиту фінансової звітності і </w:t>
            </w:r>
            <w:r w:rsidRPr="0027082E">
              <w:lastRenderedPageBreak/>
              <w:t>консолідованої фінансової звітності та/або звіту про надання впевненості щодо річних звітних даних</w:t>
            </w:r>
            <w:r w:rsidR="00AF34E2" w:rsidRPr="0027082E">
              <w:t>)</w:t>
            </w:r>
          </w:p>
        </w:tc>
        <w:tc>
          <w:tcPr>
            <w:tcW w:w="1447" w:type="dxa"/>
            <w:gridSpan w:val="2"/>
          </w:tcPr>
          <w:p w14:paraId="4F653DDE" w14:textId="2FCF957F" w:rsidR="00ED4DB2" w:rsidRPr="0027082E" w:rsidRDefault="00BA4833" w:rsidP="000F32CC">
            <w:pPr>
              <w:jc w:val="center"/>
              <w:rPr>
                <w:color w:val="FF0000"/>
              </w:rPr>
            </w:pPr>
            <w:r w:rsidRPr="0027082E">
              <w:rPr>
                <w:shd w:val="clear" w:color="auto" w:fill="FFFFFF"/>
                <w:lang w:eastAsia="ru-RU"/>
              </w:rPr>
              <w:lastRenderedPageBreak/>
              <w:t>20</w:t>
            </w:r>
          </w:p>
        </w:tc>
      </w:tr>
      <w:tr w:rsidR="00ED4DB2" w:rsidRPr="00D83ABD" w14:paraId="46B79A86" w14:textId="77777777" w:rsidTr="003B0FDF">
        <w:tc>
          <w:tcPr>
            <w:tcW w:w="704" w:type="dxa"/>
          </w:tcPr>
          <w:p w14:paraId="5CDE71CC" w14:textId="4FFC1477" w:rsidR="00ED4DB2" w:rsidRPr="00D83ABD" w:rsidRDefault="008F3E37" w:rsidP="000F32CC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</w:tcPr>
          <w:p w14:paraId="5CC08888" w14:textId="77777777" w:rsidR="00ED4DB2" w:rsidRPr="00D83ABD" w:rsidRDefault="00ED4DB2" w:rsidP="000F32CC">
            <w:r w:rsidRPr="00D83ABD">
              <w:t>2</w:t>
            </w:r>
          </w:p>
        </w:tc>
        <w:tc>
          <w:tcPr>
            <w:tcW w:w="11453" w:type="dxa"/>
            <w:gridSpan w:val="5"/>
            <w:shd w:val="clear" w:color="auto" w:fill="auto"/>
          </w:tcPr>
          <w:p w14:paraId="6142B90C" w14:textId="77777777" w:rsidR="00ED4DB2" w:rsidRPr="00D83ABD" w:rsidRDefault="00ED4DB2" w:rsidP="000F32CC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t>Показники діяльності</w:t>
            </w:r>
          </w:p>
        </w:tc>
        <w:tc>
          <w:tcPr>
            <w:tcW w:w="1447" w:type="dxa"/>
            <w:gridSpan w:val="2"/>
            <w:shd w:val="clear" w:color="auto" w:fill="auto"/>
          </w:tcPr>
          <w:p w14:paraId="57C1F3EC" w14:textId="77777777" w:rsidR="00ED4DB2" w:rsidRPr="00D83ABD" w:rsidRDefault="00ED4DB2" w:rsidP="000F32CC">
            <w:pPr>
              <w:jc w:val="center"/>
              <w:rPr>
                <w:bCs/>
              </w:rPr>
            </w:pPr>
            <w:r w:rsidRPr="00D83ABD">
              <w:rPr>
                <w:bCs/>
              </w:rPr>
              <w:t>30</w:t>
            </w:r>
          </w:p>
        </w:tc>
      </w:tr>
      <w:tr w:rsidR="00ED4DB2" w:rsidRPr="00D83ABD" w14:paraId="6BC2CD91" w14:textId="77777777" w:rsidTr="003B0FDF">
        <w:tc>
          <w:tcPr>
            <w:tcW w:w="704" w:type="dxa"/>
          </w:tcPr>
          <w:p w14:paraId="0CAFCED7" w14:textId="73744A0D" w:rsidR="00ED4DB2" w:rsidRPr="00D83ABD" w:rsidRDefault="008F3E37" w:rsidP="000F32CC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4F9EBE82" w14:textId="77777777" w:rsidR="00ED4DB2" w:rsidRPr="00D83ABD" w:rsidRDefault="00ED4DB2" w:rsidP="000F32CC">
            <w:r w:rsidRPr="00D83ABD">
              <w:t>2.1</w:t>
            </w:r>
          </w:p>
        </w:tc>
        <w:tc>
          <w:tcPr>
            <w:tcW w:w="1956" w:type="dxa"/>
          </w:tcPr>
          <w:p w14:paraId="17FF681B" w14:textId="77777777" w:rsidR="00ED4DB2" w:rsidRPr="00D83ABD" w:rsidRDefault="00ED4DB2" w:rsidP="000F32CC">
            <w:r w:rsidRPr="00D83ABD">
              <w:t>Здатність генерувати дохід</w:t>
            </w:r>
          </w:p>
        </w:tc>
        <w:tc>
          <w:tcPr>
            <w:tcW w:w="1985" w:type="dxa"/>
          </w:tcPr>
          <w:p w14:paraId="3C499658" w14:textId="32B588B3" w:rsidR="00ED4DB2" w:rsidRPr="00D83ABD" w:rsidRDefault="00BA4833" w:rsidP="000F32CC">
            <w:pPr>
              <w:rPr>
                <w:shd w:val="clear" w:color="auto" w:fill="FFFFFF"/>
              </w:rPr>
            </w:pPr>
            <w:r>
              <w:t xml:space="preserve">За </w:t>
            </w:r>
            <w:r w:rsidR="00ED4DB2" w:rsidRPr="00D83ABD">
              <w:t xml:space="preserve">період </w:t>
            </w:r>
            <w:r w:rsidR="00ED4DB2" w:rsidRPr="00D83ABD">
              <w:rPr>
                <w:bCs/>
                <w:color w:val="000000"/>
                <w:shd w:val="clear" w:color="auto" w:fill="FFFFFF"/>
              </w:rPr>
              <w:t>оцін</w:t>
            </w:r>
            <w:r w:rsidR="00ED4DB2">
              <w:rPr>
                <w:bCs/>
                <w:color w:val="000000"/>
                <w:shd w:val="clear" w:color="auto" w:fill="FFFFFF"/>
              </w:rPr>
              <w:t>ювання</w:t>
            </w:r>
            <w:r w:rsidR="00ED4DB2" w:rsidRPr="00D83ABD">
              <w:t xml:space="preserve"> </w:t>
            </w:r>
            <w:r w:rsidR="00ED4DB2" w:rsidRPr="00636AE0">
              <w:t>співвідношен</w:t>
            </w:r>
            <w:r w:rsidR="00087BB8">
              <w:t>-</w:t>
            </w:r>
            <w:r w:rsidR="00ED4DB2" w:rsidRPr="00636AE0">
              <w:t>ня операційних витрат і</w:t>
            </w:r>
            <w:r w:rsidR="00ED4DB2" w:rsidRPr="00D83ABD">
              <w:t xml:space="preserve"> </w:t>
            </w:r>
            <w:r w:rsidR="00ED4DB2" w:rsidRPr="00D83ABD">
              <w:rPr>
                <w:bCs/>
                <w:color w:val="000000"/>
              </w:rPr>
              <w:t>загальної</w:t>
            </w:r>
            <w:r w:rsidR="00ED4DB2" w:rsidRPr="00D83ABD">
              <w:rPr>
                <w:b/>
                <w:bCs/>
                <w:color w:val="000000"/>
              </w:rPr>
              <w:t xml:space="preserve"> </w:t>
            </w:r>
            <w:r w:rsidR="00ED4DB2" w:rsidRPr="00D83ABD">
              <w:rPr>
                <w:bCs/>
                <w:color w:val="000000"/>
              </w:rPr>
              <w:t>суми доходів, зменшених</w:t>
            </w:r>
            <w:r w:rsidR="00ED4DB2" w:rsidRPr="00D83ABD">
              <w:t xml:space="preserve"> на процентні витрати</w:t>
            </w:r>
            <w:r w:rsidR="00ED4DB2">
              <w:t>,</w:t>
            </w:r>
            <w:r w:rsidR="00ED4DB2" w:rsidRPr="00D83ABD">
              <w:t xml:space="preserve"> становить до 80%</w:t>
            </w:r>
          </w:p>
        </w:tc>
        <w:tc>
          <w:tcPr>
            <w:tcW w:w="2693" w:type="dxa"/>
          </w:tcPr>
          <w:p w14:paraId="6E199332" w14:textId="3748C965" w:rsidR="00ED4DB2" w:rsidRPr="00636AE0" w:rsidRDefault="00BA4833" w:rsidP="000F32CC">
            <w:pPr>
              <w:rPr>
                <w:bCs/>
              </w:rPr>
            </w:pPr>
            <w:r>
              <w:t>За</w:t>
            </w:r>
            <w:r w:rsidR="00ED4DB2" w:rsidRPr="00636AE0">
              <w:t xml:space="preserve"> період </w:t>
            </w:r>
            <w:r w:rsidR="00ED4DB2" w:rsidRPr="00636AE0">
              <w:rPr>
                <w:bCs/>
                <w:shd w:val="clear" w:color="auto" w:fill="FFFFFF"/>
              </w:rPr>
              <w:t>оцінювання</w:t>
            </w:r>
            <w:r w:rsidR="00ED4DB2" w:rsidRPr="00636AE0">
              <w:t xml:space="preserve"> прийнятне співвідношення операційних витрат і </w:t>
            </w:r>
            <w:r w:rsidR="00ED4DB2" w:rsidRPr="00636AE0">
              <w:rPr>
                <w:bCs/>
              </w:rPr>
              <w:t>загальної суми доходів, зменшених</w:t>
            </w:r>
            <w:r w:rsidR="00ED4DB2" w:rsidRPr="00636AE0">
              <w:t xml:space="preserve"> на процентні витрати, становить більше 80% включно, але менше 95% </w:t>
            </w:r>
          </w:p>
        </w:tc>
        <w:tc>
          <w:tcPr>
            <w:tcW w:w="2438" w:type="dxa"/>
          </w:tcPr>
          <w:p w14:paraId="6630CE36" w14:textId="6087E7BF" w:rsidR="00ED4DB2" w:rsidRPr="00636AE0" w:rsidRDefault="00BA4833" w:rsidP="000F32CC">
            <w:r>
              <w:t>За</w:t>
            </w:r>
            <w:r w:rsidRPr="00636AE0">
              <w:t xml:space="preserve"> </w:t>
            </w:r>
            <w:r w:rsidR="00ED4DB2" w:rsidRPr="00636AE0">
              <w:t xml:space="preserve">період </w:t>
            </w:r>
            <w:r w:rsidR="00ED4DB2" w:rsidRPr="00636AE0">
              <w:rPr>
                <w:bCs/>
                <w:shd w:val="clear" w:color="auto" w:fill="FFFFFF"/>
              </w:rPr>
              <w:t>оцінювання</w:t>
            </w:r>
            <w:r w:rsidR="00ED4DB2" w:rsidRPr="00636AE0">
              <w:t xml:space="preserve"> прийнятне співвідношення операційних витрат і </w:t>
            </w:r>
            <w:r w:rsidR="00ED4DB2" w:rsidRPr="00636AE0">
              <w:rPr>
                <w:bCs/>
              </w:rPr>
              <w:t>загальної суми доходів, зменшених</w:t>
            </w:r>
            <w:r w:rsidR="00ED4DB2" w:rsidRPr="00636AE0">
              <w:t xml:space="preserve"> на процентні витрати, становить більше 95% включно, але менше 100%</w:t>
            </w:r>
          </w:p>
        </w:tc>
        <w:tc>
          <w:tcPr>
            <w:tcW w:w="2381" w:type="dxa"/>
          </w:tcPr>
          <w:p w14:paraId="7963E0EE" w14:textId="2B947FBA" w:rsidR="00ED4DB2" w:rsidRPr="00636AE0" w:rsidRDefault="00BA4833" w:rsidP="000F32C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  <w:r w:rsidRPr="00636AE0">
              <w:rPr>
                <w:sz w:val="28"/>
                <w:szCs w:val="28"/>
                <w:lang w:val="uk-UA"/>
              </w:rPr>
              <w:t xml:space="preserve"> </w:t>
            </w:r>
            <w:r w:rsidR="00ED4DB2" w:rsidRPr="00636AE0">
              <w:rPr>
                <w:sz w:val="28"/>
                <w:szCs w:val="28"/>
                <w:lang w:val="uk-UA"/>
              </w:rPr>
              <w:t xml:space="preserve">період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D4DB2" w:rsidRPr="00BA4833">
              <w:rPr>
                <w:bCs/>
                <w:sz w:val="28"/>
                <w:szCs w:val="28"/>
                <w:shd w:val="clear" w:color="auto" w:fill="FFFFFF"/>
                <w:lang w:val="uk-UA"/>
              </w:rPr>
              <w:t>оцінювання</w:t>
            </w:r>
            <w:r>
              <w:rPr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D4DB2" w:rsidRPr="00636AE0" w:rsidDel="0012536C">
              <w:rPr>
                <w:sz w:val="28"/>
                <w:szCs w:val="28"/>
                <w:lang w:val="uk-UA"/>
              </w:rPr>
              <w:t xml:space="preserve"> </w:t>
            </w:r>
            <w:r w:rsidR="00ED4DB2" w:rsidRPr="00636AE0">
              <w:rPr>
                <w:sz w:val="28"/>
                <w:szCs w:val="28"/>
                <w:lang w:val="uk-UA"/>
              </w:rPr>
              <w:t xml:space="preserve">співвідношення операційних витрат і </w:t>
            </w:r>
            <w:r w:rsidR="00ED4DB2" w:rsidRPr="00636AE0">
              <w:rPr>
                <w:bCs/>
                <w:sz w:val="28"/>
                <w:szCs w:val="28"/>
                <w:lang w:val="uk-UA"/>
              </w:rPr>
              <w:t>загальної суми доходів, зменшених</w:t>
            </w:r>
            <w:r w:rsidR="00ED4DB2" w:rsidRPr="00636AE0">
              <w:rPr>
                <w:sz w:val="28"/>
                <w:szCs w:val="28"/>
                <w:lang w:val="uk-UA"/>
              </w:rPr>
              <w:t xml:space="preserve"> на процентні витрати, становить більше 100% включно</w:t>
            </w:r>
          </w:p>
          <w:p w14:paraId="07B8F935" w14:textId="77777777" w:rsidR="00ED4DB2" w:rsidRPr="00636AE0" w:rsidRDefault="00ED4DB2" w:rsidP="000F32C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14:paraId="5E3D2BB6" w14:textId="77777777" w:rsidR="00ED4DB2" w:rsidRPr="00D83ABD" w:rsidRDefault="00ED4DB2" w:rsidP="000F32CC">
            <w:pPr>
              <w:jc w:val="center"/>
              <w:rPr>
                <w:bCs/>
              </w:rPr>
            </w:pPr>
            <w:r w:rsidRPr="00D83ABD">
              <w:rPr>
                <w:bCs/>
              </w:rPr>
              <w:t>30</w:t>
            </w:r>
          </w:p>
        </w:tc>
      </w:tr>
      <w:tr w:rsidR="00ED4DB2" w:rsidRPr="00D83ABD" w14:paraId="08FB4F4E" w14:textId="77777777" w:rsidTr="003B0FDF">
        <w:tc>
          <w:tcPr>
            <w:tcW w:w="704" w:type="dxa"/>
          </w:tcPr>
          <w:p w14:paraId="2B551575" w14:textId="5FACB89A" w:rsidR="00ED4DB2" w:rsidRPr="00D83ABD" w:rsidRDefault="008F3E37" w:rsidP="000F32CC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7A2504FD" w14:textId="77777777" w:rsidR="00ED4DB2" w:rsidRPr="00D83ABD" w:rsidRDefault="00ED4DB2" w:rsidP="000F32CC">
            <w:r w:rsidRPr="00D83ABD">
              <w:t>2.2</w:t>
            </w:r>
          </w:p>
        </w:tc>
        <w:tc>
          <w:tcPr>
            <w:tcW w:w="1956" w:type="dxa"/>
          </w:tcPr>
          <w:p w14:paraId="793D55CB" w14:textId="77777777" w:rsidR="00ED4DB2" w:rsidRPr="00D83ABD" w:rsidRDefault="00ED4DB2" w:rsidP="000F32CC">
            <w:pPr>
              <w:rPr>
                <w:color w:val="FF0000"/>
              </w:rPr>
            </w:pPr>
            <w:r w:rsidRPr="00D83ABD">
              <w:t>Зростання активів</w:t>
            </w:r>
          </w:p>
        </w:tc>
        <w:tc>
          <w:tcPr>
            <w:tcW w:w="1985" w:type="dxa"/>
          </w:tcPr>
          <w:p w14:paraId="41113E90" w14:textId="77777777" w:rsidR="00ED4DB2" w:rsidRPr="00D83ABD" w:rsidRDefault="00ED4DB2" w:rsidP="000F32C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Темп зростання розміру 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активів за період </w:t>
            </w:r>
            <w:r w:rsidRPr="00D83ABD">
              <w:rPr>
                <w:bCs/>
                <w:color w:val="000000"/>
                <w:sz w:val="28"/>
                <w:szCs w:val="28"/>
                <w:shd w:val="clear" w:color="auto" w:fill="FFFFFF"/>
              </w:rPr>
              <w:t>оцін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ювання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становить від 100% включно, але менше 110%</w:t>
            </w:r>
          </w:p>
        </w:tc>
        <w:tc>
          <w:tcPr>
            <w:tcW w:w="2693" w:type="dxa"/>
          </w:tcPr>
          <w:p w14:paraId="4D99F0DB" w14:textId="77777777" w:rsidR="00ED4DB2" w:rsidRPr="00D83ABD" w:rsidRDefault="00ED4DB2" w:rsidP="000F32CC">
            <w:pPr>
              <w:rPr>
                <w:bCs/>
              </w:rPr>
            </w:pPr>
            <w:r w:rsidRPr="00D83ABD">
              <w:rPr>
                <w:shd w:val="clear" w:color="auto" w:fill="FFFFFF"/>
              </w:rPr>
              <w:lastRenderedPageBreak/>
              <w:t xml:space="preserve">Темп зростання розміру активів за період </w:t>
            </w:r>
            <w:r>
              <w:rPr>
                <w:bCs/>
                <w:color w:val="000000"/>
                <w:shd w:val="clear" w:color="auto" w:fill="FFFFFF"/>
              </w:rPr>
              <w:t>оцінювання</w:t>
            </w:r>
            <w:r w:rsidRPr="00D83ABD">
              <w:rPr>
                <w:shd w:val="clear" w:color="auto" w:fill="FFFFFF"/>
              </w:rPr>
              <w:t xml:space="preserve"> </w:t>
            </w:r>
            <w:r w:rsidRPr="00D83ABD">
              <w:rPr>
                <w:shd w:val="clear" w:color="auto" w:fill="FFFFFF"/>
              </w:rPr>
              <w:lastRenderedPageBreak/>
              <w:t>становить більше 110% включно, але менше 115%</w:t>
            </w:r>
          </w:p>
        </w:tc>
        <w:tc>
          <w:tcPr>
            <w:tcW w:w="2438" w:type="dxa"/>
          </w:tcPr>
          <w:p w14:paraId="25B9D388" w14:textId="77777777" w:rsidR="00ED4DB2" w:rsidRPr="00D83ABD" w:rsidRDefault="00ED4DB2" w:rsidP="000F32CC">
            <w:r w:rsidRPr="00D83ABD">
              <w:rPr>
                <w:shd w:val="clear" w:color="auto" w:fill="FFFFFF"/>
              </w:rPr>
              <w:lastRenderedPageBreak/>
              <w:t xml:space="preserve">Темп зростання розміру активів за період </w:t>
            </w:r>
            <w:r>
              <w:rPr>
                <w:bCs/>
                <w:color w:val="000000"/>
                <w:shd w:val="clear" w:color="auto" w:fill="FFFFFF"/>
              </w:rPr>
              <w:lastRenderedPageBreak/>
              <w:t>оцінювання</w:t>
            </w:r>
            <w:r w:rsidRPr="00D83ABD">
              <w:rPr>
                <w:shd w:val="clear" w:color="auto" w:fill="FFFFFF"/>
              </w:rPr>
              <w:t xml:space="preserve"> становить більше 115% включно, але менше 120%</w:t>
            </w:r>
          </w:p>
        </w:tc>
        <w:tc>
          <w:tcPr>
            <w:tcW w:w="2381" w:type="dxa"/>
          </w:tcPr>
          <w:p w14:paraId="64F4D74E" w14:textId="77777777" w:rsidR="00ED4DB2" w:rsidRPr="00D83ABD" w:rsidRDefault="00ED4DB2" w:rsidP="000F32C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Темп зростання розміру активів за період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оцінювання</w:t>
            </w:r>
            <w:r w:rsidRPr="00D83ABD">
              <w:rPr>
                <w:sz w:val="28"/>
                <w:szCs w:val="28"/>
                <w:shd w:val="clear" w:color="auto" w:fill="FFFFFF"/>
                <w:lang w:val="uk-UA"/>
              </w:rPr>
              <w:t xml:space="preserve"> становить більше 120% включно або менше 100%</w:t>
            </w:r>
          </w:p>
        </w:tc>
        <w:tc>
          <w:tcPr>
            <w:tcW w:w="1447" w:type="dxa"/>
            <w:gridSpan w:val="2"/>
          </w:tcPr>
          <w:p w14:paraId="1FF4AF71" w14:textId="77777777" w:rsidR="00ED4DB2" w:rsidRPr="00D83ABD" w:rsidRDefault="00ED4DB2" w:rsidP="000F32CC">
            <w:pPr>
              <w:jc w:val="center"/>
              <w:rPr>
                <w:bCs/>
              </w:rPr>
            </w:pPr>
            <w:r w:rsidRPr="00D83ABD">
              <w:rPr>
                <w:bCs/>
              </w:rPr>
              <w:lastRenderedPageBreak/>
              <w:t>10</w:t>
            </w:r>
          </w:p>
        </w:tc>
      </w:tr>
      <w:tr w:rsidR="00ED4DB2" w:rsidRPr="00D83ABD" w14:paraId="68F76322" w14:textId="77777777" w:rsidTr="003B0FDF">
        <w:tc>
          <w:tcPr>
            <w:tcW w:w="704" w:type="dxa"/>
          </w:tcPr>
          <w:p w14:paraId="2C1E213A" w14:textId="584AEC2A" w:rsidR="00ED4DB2" w:rsidRPr="00D83ABD" w:rsidRDefault="008F3E37" w:rsidP="000F32C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1AED8943" w14:textId="77777777" w:rsidR="00ED4DB2" w:rsidRPr="00D83ABD" w:rsidRDefault="00ED4DB2" w:rsidP="000F32CC">
            <w:r w:rsidRPr="00D83ABD">
              <w:t>2.3</w:t>
            </w:r>
          </w:p>
        </w:tc>
        <w:tc>
          <w:tcPr>
            <w:tcW w:w="1956" w:type="dxa"/>
          </w:tcPr>
          <w:p w14:paraId="25B784FE" w14:textId="77777777" w:rsidR="00ED4DB2" w:rsidRPr="00D83ABD" w:rsidRDefault="00ED4DB2" w:rsidP="000F32CC">
            <w:r w:rsidRPr="00D83ABD">
              <w:t>Якість активів (кредитного портфел</w:t>
            </w:r>
            <w:r>
              <w:t>я</w:t>
            </w:r>
            <w:r w:rsidRPr="00D83ABD">
              <w:t>)</w:t>
            </w:r>
          </w:p>
        </w:tc>
        <w:tc>
          <w:tcPr>
            <w:tcW w:w="1985" w:type="dxa"/>
          </w:tcPr>
          <w:p w14:paraId="0C75B9DA" w14:textId="77777777" w:rsidR="00ED4DB2" w:rsidRPr="00D83ABD" w:rsidRDefault="00ED4DB2" w:rsidP="000F32CC">
            <w:pPr>
              <w:pStyle w:val="rvps14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t xml:space="preserve">Прострочені кредити на звітну дату періоду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оцінювання</w:t>
            </w:r>
            <w:r w:rsidRPr="00D83ABD">
              <w:rPr>
                <w:sz w:val="28"/>
                <w:szCs w:val="28"/>
                <w:lang w:val="uk-UA"/>
              </w:rPr>
              <w:t xml:space="preserve"> становили менше 5% включно від загального </w:t>
            </w:r>
            <w:r>
              <w:rPr>
                <w:sz w:val="28"/>
                <w:szCs w:val="28"/>
                <w:lang w:val="uk-UA"/>
              </w:rPr>
              <w:t xml:space="preserve">обсягу </w:t>
            </w:r>
            <w:r w:rsidRPr="00D83ABD">
              <w:rPr>
                <w:sz w:val="28"/>
                <w:szCs w:val="28"/>
                <w:lang w:val="uk-UA"/>
              </w:rPr>
              <w:t>кредитного портфел</w:t>
            </w:r>
            <w:r>
              <w:rPr>
                <w:sz w:val="28"/>
                <w:szCs w:val="28"/>
                <w:lang w:val="uk-UA"/>
              </w:rPr>
              <w:t>я</w:t>
            </w:r>
            <w:r w:rsidRPr="00D83AB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1B678ECE" w14:textId="77777777" w:rsidR="00ED4DB2" w:rsidRPr="00D83ABD" w:rsidRDefault="00ED4DB2" w:rsidP="000F32CC">
            <w:pPr>
              <w:rPr>
                <w:shd w:val="clear" w:color="auto" w:fill="FFFFFF"/>
              </w:rPr>
            </w:pPr>
            <w:r w:rsidRPr="00D83ABD">
              <w:t xml:space="preserve">Прострочені кредити на звітну дату періоду </w:t>
            </w:r>
            <w:r>
              <w:rPr>
                <w:bCs/>
                <w:color w:val="000000"/>
                <w:shd w:val="clear" w:color="auto" w:fill="FFFFFF"/>
              </w:rPr>
              <w:t>оцінювання</w:t>
            </w:r>
            <w:r w:rsidRPr="00D83ABD">
              <w:t xml:space="preserve"> становили більше 5%, але не більше 10% включно від загального </w:t>
            </w:r>
            <w:r>
              <w:t xml:space="preserve">обсягу </w:t>
            </w:r>
            <w:r w:rsidRPr="00D83ABD">
              <w:t>кредитного портфел</w:t>
            </w:r>
            <w:r>
              <w:t>я</w:t>
            </w:r>
          </w:p>
        </w:tc>
        <w:tc>
          <w:tcPr>
            <w:tcW w:w="2438" w:type="dxa"/>
          </w:tcPr>
          <w:p w14:paraId="6EDE278F" w14:textId="77777777" w:rsidR="00ED4DB2" w:rsidRPr="00D83ABD" w:rsidRDefault="00ED4DB2" w:rsidP="000F32CC">
            <w:pPr>
              <w:rPr>
                <w:shd w:val="clear" w:color="auto" w:fill="FFFFFF"/>
              </w:rPr>
            </w:pPr>
            <w:r w:rsidRPr="00D83ABD">
              <w:t xml:space="preserve">Прострочені кредити на звітну дату періоду </w:t>
            </w:r>
            <w:r>
              <w:rPr>
                <w:bCs/>
                <w:color w:val="000000"/>
                <w:shd w:val="clear" w:color="auto" w:fill="FFFFFF"/>
              </w:rPr>
              <w:t>оцінювання</w:t>
            </w:r>
            <w:r w:rsidRPr="00D83ABD">
              <w:t xml:space="preserve"> становили більше 10%, але  не більше 20% включно від загального </w:t>
            </w:r>
            <w:r>
              <w:t xml:space="preserve">обсягу </w:t>
            </w:r>
            <w:r w:rsidRPr="00D83ABD">
              <w:t>кредитного портфел</w:t>
            </w:r>
            <w:r>
              <w:t>я</w:t>
            </w:r>
          </w:p>
        </w:tc>
        <w:tc>
          <w:tcPr>
            <w:tcW w:w="2381" w:type="dxa"/>
          </w:tcPr>
          <w:p w14:paraId="5BA09807" w14:textId="77777777" w:rsidR="00ED4DB2" w:rsidRPr="00D83ABD" w:rsidRDefault="00ED4DB2" w:rsidP="000F32C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t xml:space="preserve">Прострочені кредити на звітну дату періоду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оцінювання</w:t>
            </w:r>
            <w:r w:rsidRPr="00D83ABD">
              <w:rPr>
                <w:sz w:val="28"/>
                <w:szCs w:val="28"/>
                <w:lang w:val="uk-UA"/>
              </w:rPr>
              <w:t xml:space="preserve"> становили більше 20% від загального </w:t>
            </w:r>
            <w:r>
              <w:rPr>
                <w:sz w:val="28"/>
                <w:szCs w:val="28"/>
                <w:lang w:val="uk-UA"/>
              </w:rPr>
              <w:t xml:space="preserve">обсягу </w:t>
            </w:r>
            <w:r w:rsidRPr="00D83ABD">
              <w:rPr>
                <w:sz w:val="28"/>
                <w:szCs w:val="28"/>
                <w:lang w:val="uk-UA"/>
              </w:rPr>
              <w:t>кредитного портфел</w:t>
            </w:r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447" w:type="dxa"/>
            <w:gridSpan w:val="2"/>
          </w:tcPr>
          <w:p w14:paraId="3AF520C8" w14:textId="77777777" w:rsidR="00ED4DB2" w:rsidRPr="00D83ABD" w:rsidRDefault="00ED4DB2" w:rsidP="000F32CC">
            <w:pPr>
              <w:jc w:val="center"/>
              <w:rPr>
                <w:bCs/>
              </w:rPr>
            </w:pPr>
            <w:r w:rsidRPr="00D83ABD">
              <w:rPr>
                <w:bCs/>
              </w:rPr>
              <w:t>60</w:t>
            </w:r>
          </w:p>
        </w:tc>
      </w:tr>
      <w:tr w:rsidR="00ED4DB2" w:rsidRPr="00D83ABD" w14:paraId="59F4A4C2" w14:textId="77777777" w:rsidTr="003B0FDF">
        <w:tc>
          <w:tcPr>
            <w:tcW w:w="704" w:type="dxa"/>
          </w:tcPr>
          <w:p w14:paraId="75A2FE51" w14:textId="653DB2CD" w:rsidR="00ED4DB2" w:rsidRPr="00D83ABD" w:rsidRDefault="008F3E37" w:rsidP="000F32CC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auto"/>
          </w:tcPr>
          <w:p w14:paraId="09036A02" w14:textId="77777777" w:rsidR="00ED4DB2" w:rsidRPr="00D83ABD" w:rsidRDefault="00ED4DB2" w:rsidP="000F32CC">
            <w:pPr>
              <w:jc w:val="center"/>
            </w:pPr>
            <w:r w:rsidRPr="00D83ABD">
              <w:t>3</w:t>
            </w:r>
          </w:p>
        </w:tc>
        <w:tc>
          <w:tcPr>
            <w:tcW w:w="11453" w:type="dxa"/>
            <w:gridSpan w:val="5"/>
            <w:shd w:val="clear" w:color="auto" w:fill="auto"/>
          </w:tcPr>
          <w:p w14:paraId="63067683" w14:textId="77777777" w:rsidR="00ED4DB2" w:rsidRPr="00D83ABD" w:rsidRDefault="00ED4DB2" w:rsidP="000F32CC">
            <w:pPr>
              <w:pStyle w:val="rvps14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83ABD">
              <w:rPr>
                <w:sz w:val="28"/>
                <w:szCs w:val="28"/>
                <w:lang w:val="uk-UA"/>
              </w:rPr>
              <w:t>Виконання обов’язкових критеріїв і нормативів достатності капіталу та платоспроможності, ліквідності, прибутковості, якості активів та ризиковості операцій, інших показників і вимог</w:t>
            </w:r>
          </w:p>
        </w:tc>
        <w:tc>
          <w:tcPr>
            <w:tcW w:w="1447" w:type="dxa"/>
            <w:gridSpan w:val="2"/>
            <w:shd w:val="clear" w:color="auto" w:fill="auto"/>
          </w:tcPr>
          <w:p w14:paraId="09FD6ABE" w14:textId="77777777" w:rsidR="00ED4DB2" w:rsidRPr="00D83ABD" w:rsidRDefault="00ED4DB2" w:rsidP="000F32CC">
            <w:pPr>
              <w:jc w:val="center"/>
              <w:rPr>
                <w:bCs/>
              </w:rPr>
            </w:pPr>
            <w:r w:rsidRPr="00D83ABD">
              <w:rPr>
                <w:bCs/>
              </w:rPr>
              <w:t>60</w:t>
            </w:r>
          </w:p>
        </w:tc>
      </w:tr>
      <w:tr w:rsidR="00ED4DB2" w:rsidRPr="00D83ABD" w14:paraId="0C15B360" w14:textId="77777777" w:rsidTr="003B0FDF">
        <w:tc>
          <w:tcPr>
            <w:tcW w:w="704" w:type="dxa"/>
          </w:tcPr>
          <w:p w14:paraId="196186FD" w14:textId="59B2C0BA" w:rsidR="00ED4DB2" w:rsidRDefault="00ED4DB2" w:rsidP="000F32CC">
            <w:pPr>
              <w:jc w:val="center"/>
            </w:pPr>
            <w:r w:rsidRPr="00D83ABD">
              <w:t>1</w:t>
            </w:r>
            <w:r w:rsidR="008F3E37">
              <w:t>0</w:t>
            </w:r>
          </w:p>
        </w:tc>
        <w:tc>
          <w:tcPr>
            <w:tcW w:w="992" w:type="dxa"/>
          </w:tcPr>
          <w:p w14:paraId="4D844996" w14:textId="77777777" w:rsidR="00ED4DB2" w:rsidRPr="00D83ABD" w:rsidRDefault="00ED4DB2" w:rsidP="000F32CC">
            <w:r w:rsidRPr="00D83ABD">
              <w:t>3.1</w:t>
            </w:r>
          </w:p>
        </w:tc>
        <w:tc>
          <w:tcPr>
            <w:tcW w:w="1956" w:type="dxa"/>
          </w:tcPr>
          <w:p w14:paraId="6707E9BD" w14:textId="77777777" w:rsidR="00ED4DB2" w:rsidRPr="003C1933" w:rsidRDefault="00ED4DB2" w:rsidP="000F32CC">
            <w:pPr>
              <w:rPr>
                <w:highlight w:val="yellow"/>
              </w:rPr>
            </w:pPr>
            <w:r w:rsidRPr="00681CE0">
              <w:t xml:space="preserve">Дотримання нормативу </w:t>
            </w:r>
            <w:r w:rsidRPr="00681CE0">
              <w:lastRenderedPageBreak/>
              <w:t>достатності капіталу</w:t>
            </w:r>
          </w:p>
        </w:tc>
        <w:tc>
          <w:tcPr>
            <w:tcW w:w="1985" w:type="dxa"/>
          </w:tcPr>
          <w:p w14:paraId="1C8FD01C" w14:textId="77777777" w:rsidR="00087BB8" w:rsidRDefault="00ED4DB2" w:rsidP="000F32CC">
            <w:r w:rsidRPr="00D83ABD">
              <w:lastRenderedPageBreak/>
              <w:t xml:space="preserve">На дату </w:t>
            </w:r>
            <w:r w:rsidRPr="00D83ABD">
              <w:rPr>
                <w:bCs/>
                <w:color w:val="000000"/>
                <w:shd w:val="clear" w:color="auto" w:fill="FFFFFF"/>
              </w:rPr>
              <w:t>оцін</w:t>
            </w:r>
            <w:r>
              <w:rPr>
                <w:bCs/>
                <w:color w:val="000000"/>
                <w:shd w:val="clear" w:color="auto" w:fill="FFFFFF"/>
              </w:rPr>
              <w:t>ювання</w:t>
            </w:r>
            <w:r w:rsidRPr="00D83ABD">
              <w:t xml:space="preserve"> значення </w:t>
            </w:r>
            <w:r w:rsidRPr="00D83ABD">
              <w:lastRenderedPageBreak/>
              <w:t xml:space="preserve">нормативу достатності капіталу становить більше 12% за умови, що резерв забезпечення покриття втрат від неповернених позичок </w:t>
            </w:r>
          </w:p>
          <w:p w14:paraId="359EE73B" w14:textId="4193A68E" w:rsidR="00ED4DB2" w:rsidRPr="00D83ABD" w:rsidRDefault="00ED4DB2" w:rsidP="00D604F2">
            <w:r w:rsidRPr="00D83ABD">
              <w:t xml:space="preserve">(далі – РЗПВ) формується відповідно </w:t>
            </w:r>
            <w:r>
              <w:t xml:space="preserve">до </w:t>
            </w:r>
            <w:r w:rsidRPr="00D83ABD">
              <w:t xml:space="preserve">Положення про обов’язкові фінансові нормативи та вимоги, що обмежують ризики за операціями з </w:t>
            </w:r>
            <w:r w:rsidRPr="00D83ABD">
              <w:lastRenderedPageBreak/>
              <w:t>фінансовими активами кредитних спілок, затвердженого розпоряд</w:t>
            </w:r>
            <w:r>
              <w:t>-</w:t>
            </w:r>
            <w:r w:rsidRPr="00D83ABD">
              <w:t>женням Національної комісії, що здійснює державне регулювання у сфері ринків фінансових послуг</w:t>
            </w:r>
            <w:r>
              <w:t>,</w:t>
            </w:r>
            <w:r w:rsidRPr="00D83ABD">
              <w:t xml:space="preserve"> від 19</w:t>
            </w:r>
            <w:r>
              <w:t> </w:t>
            </w:r>
            <w:r w:rsidRPr="00D83ABD">
              <w:t>вересня 2019  року №</w:t>
            </w:r>
            <w:r>
              <w:t> </w:t>
            </w:r>
            <w:r w:rsidRPr="00D83ABD">
              <w:t>1840, зареєстрова</w:t>
            </w:r>
            <w:r>
              <w:t>-</w:t>
            </w:r>
            <w:r w:rsidRPr="00D83ABD">
              <w:t xml:space="preserve">ного в Міністерстві юстиції України </w:t>
            </w:r>
            <w:r w:rsidRPr="00D83ABD">
              <w:rPr>
                <w:rStyle w:val="rvts9"/>
                <w:rFonts w:eastAsia="Calibri"/>
                <w:bCs/>
                <w:shd w:val="clear" w:color="auto" w:fill="FFFFFF"/>
              </w:rPr>
              <w:t>27</w:t>
            </w:r>
            <w:r w:rsidR="00B47034">
              <w:rPr>
                <w:rStyle w:val="rvts9"/>
                <w:rFonts w:eastAsia="Calibri"/>
                <w:bCs/>
                <w:shd w:val="clear" w:color="auto" w:fill="FFFFFF"/>
              </w:rPr>
              <w:t> </w:t>
            </w:r>
            <w:r w:rsidRPr="00D83ABD">
              <w:rPr>
                <w:rStyle w:val="rvts9"/>
                <w:rFonts w:eastAsia="Calibri"/>
                <w:bCs/>
                <w:shd w:val="clear" w:color="auto" w:fill="FFFFFF"/>
              </w:rPr>
              <w:t xml:space="preserve">листопада </w:t>
            </w:r>
            <w:r w:rsidRPr="00D83ABD">
              <w:rPr>
                <w:rStyle w:val="rvts9"/>
                <w:rFonts w:eastAsia="Calibri"/>
                <w:bCs/>
                <w:shd w:val="clear" w:color="auto" w:fill="FFFFFF"/>
              </w:rPr>
              <w:lastRenderedPageBreak/>
              <w:t>2019 року</w:t>
            </w:r>
            <w:r w:rsidRPr="00D83ABD">
              <w:br/>
            </w:r>
            <w:r w:rsidRPr="00D83ABD">
              <w:rPr>
                <w:rStyle w:val="rvts9"/>
                <w:rFonts w:eastAsia="Calibri"/>
                <w:bCs/>
                <w:shd w:val="clear" w:color="auto" w:fill="FFFFFF"/>
              </w:rPr>
              <w:t>за №</w:t>
            </w:r>
            <w:r>
              <w:rPr>
                <w:rStyle w:val="rvts9"/>
                <w:rFonts w:eastAsia="Calibri"/>
                <w:bCs/>
                <w:shd w:val="clear" w:color="auto" w:fill="FFFFFF"/>
              </w:rPr>
              <w:t> </w:t>
            </w:r>
            <w:r w:rsidRPr="00D83ABD">
              <w:rPr>
                <w:rStyle w:val="rvts9"/>
                <w:rFonts w:eastAsia="Calibri"/>
                <w:bCs/>
                <w:shd w:val="clear" w:color="auto" w:fill="FFFFFF"/>
              </w:rPr>
              <w:t>1186/34157</w:t>
            </w:r>
            <w:r w:rsidRPr="00332C73">
              <w:rPr>
                <w:rStyle w:val="rvts9"/>
                <w:rFonts w:eastAsia="Calibri"/>
                <w:bCs/>
                <w:sz w:val="30"/>
                <w:szCs w:val="30"/>
                <w:shd w:val="clear" w:color="auto" w:fill="FFFFFF"/>
              </w:rPr>
              <w:t xml:space="preserve"> </w:t>
            </w:r>
            <w:r w:rsidRPr="00D83ABD">
              <w:t>(далі</w:t>
            </w:r>
            <w:r>
              <w:t> </w:t>
            </w:r>
            <w:r w:rsidRPr="00D83ABD">
              <w:t>– Положення №</w:t>
            </w:r>
            <w:r>
              <w:t> </w:t>
            </w:r>
            <w:r w:rsidRPr="00D83ABD">
              <w:t>1840)</w:t>
            </w:r>
          </w:p>
        </w:tc>
        <w:tc>
          <w:tcPr>
            <w:tcW w:w="2693" w:type="dxa"/>
          </w:tcPr>
          <w:p w14:paraId="2C1987AB" w14:textId="77777777" w:rsidR="00ED4DB2" w:rsidRPr="00D83ABD" w:rsidRDefault="00ED4DB2" w:rsidP="000F32CC">
            <w:r w:rsidRPr="00D83ABD">
              <w:lastRenderedPageBreak/>
              <w:t xml:space="preserve">На дату </w:t>
            </w:r>
            <w:r w:rsidRPr="00D83ABD">
              <w:rPr>
                <w:bCs/>
                <w:color w:val="000000"/>
                <w:shd w:val="clear" w:color="auto" w:fill="FFFFFF"/>
              </w:rPr>
              <w:t>оцін</w:t>
            </w:r>
            <w:r>
              <w:rPr>
                <w:bCs/>
                <w:color w:val="000000"/>
                <w:shd w:val="clear" w:color="auto" w:fill="FFFFFF"/>
              </w:rPr>
              <w:t>ювання</w:t>
            </w:r>
            <w:r w:rsidRPr="00D83ABD">
              <w:t xml:space="preserve"> значення нормативу достатності капіталу </w:t>
            </w:r>
            <w:r w:rsidRPr="00D83ABD">
              <w:lastRenderedPageBreak/>
              <w:t>становить більше 8% включно, але не більше 12% включно за умови, що РЗПВ формується відповідно до Положення №</w:t>
            </w:r>
            <w:r>
              <w:t> </w:t>
            </w:r>
            <w:r w:rsidRPr="00D83ABD">
              <w:t>1840</w:t>
            </w:r>
          </w:p>
        </w:tc>
        <w:tc>
          <w:tcPr>
            <w:tcW w:w="2438" w:type="dxa"/>
          </w:tcPr>
          <w:p w14:paraId="6A767EAA" w14:textId="77777777" w:rsidR="00ED4DB2" w:rsidRPr="0027082E" w:rsidRDefault="00ED4DB2" w:rsidP="000F32CC">
            <w:pPr>
              <w:pStyle w:val="rvps14"/>
              <w:jc w:val="both"/>
              <w:rPr>
                <w:sz w:val="28"/>
                <w:szCs w:val="28"/>
                <w:lang w:val="uk-UA"/>
              </w:rPr>
            </w:pPr>
            <w:r w:rsidRPr="0027082E">
              <w:rPr>
                <w:sz w:val="28"/>
                <w:szCs w:val="28"/>
                <w:lang w:val="uk-UA"/>
              </w:rPr>
              <w:lastRenderedPageBreak/>
              <w:t xml:space="preserve">На дату </w:t>
            </w:r>
            <w:r w:rsidRPr="0027082E">
              <w:rPr>
                <w:bCs/>
                <w:color w:val="000000"/>
                <w:sz w:val="28"/>
                <w:szCs w:val="28"/>
                <w:shd w:val="clear" w:color="auto" w:fill="FFFFFF"/>
              </w:rPr>
              <w:t>оцінювання</w:t>
            </w:r>
            <w:r w:rsidRPr="0027082E">
              <w:rPr>
                <w:sz w:val="28"/>
                <w:szCs w:val="28"/>
                <w:lang w:val="uk-UA"/>
              </w:rPr>
              <w:t xml:space="preserve"> значення </w:t>
            </w:r>
            <w:r w:rsidRPr="0027082E">
              <w:rPr>
                <w:sz w:val="28"/>
                <w:szCs w:val="28"/>
                <w:lang w:val="uk-UA"/>
              </w:rPr>
              <w:lastRenderedPageBreak/>
              <w:t>нормативу достатності капіталу становить більше 7% включно, але не більше 8% за умови, що РЗПВ формується відповідно до Положення № 1840</w:t>
            </w:r>
          </w:p>
        </w:tc>
        <w:tc>
          <w:tcPr>
            <w:tcW w:w="2381" w:type="dxa"/>
          </w:tcPr>
          <w:p w14:paraId="5EE62DE7" w14:textId="77777777" w:rsidR="00ED4DB2" w:rsidRPr="0027082E" w:rsidRDefault="00ED4DB2" w:rsidP="000F32CC">
            <w:pPr>
              <w:rPr>
                <w:lang w:eastAsia="ru-RU"/>
              </w:rPr>
            </w:pPr>
            <w:r w:rsidRPr="0027082E">
              <w:lastRenderedPageBreak/>
              <w:t xml:space="preserve">На дату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значення </w:t>
            </w:r>
            <w:r w:rsidRPr="0027082E">
              <w:lastRenderedPageBreak/>
              <w:t>нормативу достатності капіталу становить менше 7%</w:t>
            </w:r>
          </w:p>
        </w:tc>
        <w:tc>
          <w:tcPr>
            <w:tcW w:w="1447" w:type="dxa"/>
            <w:gridSpan w:val="2"/>
          </w:tcPr>
          <w:p w14:paraId="3F7BD135" w14:textId="6EFC0313" w:rsidR="00ED4DB2" w:rsidRPr="0027082E" w:rsidRDefault="00274E1A" w:rsidP="000F32CC">
            <w:pPr>
              <w:jc w:val="center"/>
              <w:rPr>
                <w:lang w:eastAsia="ru-RU"/>
              </w:rPr>
            </w:pPr>
            <w:r w:rsidRPr="0027082E">
              <w:rPr>
                <w:lang w:eastAsia="ru-RU"/>
              </w:rPr>
              <w:lastRenderedPageBreak/>
              <w:t>80</w:t>
            </w:r>
          </w:p>
        </w:tc>
      </w:tr>
      <w:tr w:rsidR="00ED4DB2" w:rsidRPr="00D83ABD" w14:paraId="5B572EC5" w14:textId="77777777" w:rsidTr="003B0FDF">
        <w:tc>
          <w:tcPr>
            <w:tcW w:w="704" w:type="dxa"/>
          </w:tcPr>
          <w:p w14:paraId="378F2A8A" w14:textId="5BCFEE49" w:rsidR="00ED4DB2" w:rsidRPr="00D83ABD" w:rsidRDefault="00ED4DB2" w:rsidP="000F32CC">
            <w:r w:rsidRPr="00D83ABD">
              <w:lastRenderedPageBreak/>
              <w:t>1</w:t>
            </w:r>
            <w:r w:rsidR="008F3E37">
              <w:t>1</w:t>
            </w:r>
          </w:p>
        </w:tc>
        <w:tc>
          <w:tcPr>
            <w:tcW w:w="992" w:type="dxa"/>
          </w:tcPr>
          <w:p w14:paraId="0A5FC09C" w14:textId="77777777" w:rsidR="00ED4DB2" w:rsidRPr="0027082E" w:rsidRDefault="00ED4DB2" w:rsidP="000F32CC">
            <w:r w:rsidRPr="0027082E">
              <w:t>3.2</w:t>
            </w:r>
          </w:p>
        </w:tc>
        <w:tc>
          <w:tcPr>
            <w:tcW w:w="1956" w:type="dxa"/>
          </w:tcPr>
          <w:p w14:paraId="166CD74C" w14:textId="77777777" w:rsidR="00ED4DB2" w:rsidRPr="0027082E" w:rsidRDefault="00ED4DB2" w:rsidP="000F32CC">
            <w:r w:rsidRPr="0027082E">
              <w:rPr>
                <w:shd w:val="clear" w:color="auto" w:fill="FFFFFF"/>
              </w:rPr>
              <w:t>Дотримання вимог запасу ліквідності</w:t>
            </w:r>
          </w:p>
        </w:tc>
        <w:tc>
          <w:tcPr>
            <w:tcW w:w="1985" w:type="dxa"/>
          </w:tcPr>
          <w:p w14:paraId="688C420B" w14:textId="6D9A6BBF" w:rsidR="00ED4DB2" w:rsidRPr="0027082E" w:rsidRDefault="00ED4DB2" w:rsidP="000F32CC">
            <w:r w:rsidRPr="0027082E">
              <w:t xml:space="preserve">На дату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</w:t>
            </w:r>
            <w:r w:rsidRPr="0027082E">
              <w:rPr>
                <w:shd w:val="clear" w:color="auto" w:fill="FFFFFF"/>
              </w:rPr>
              <w:t xml:space="preserve"> співвідношен-ня прийнятних активів і розрахунково-го запасу ліквідності</w:t>
            </w:r>
            <w:r w:rsidRPr="0027082E" w:rsidDel="006F41E1">
              <w:rPr>
                <w:shd w:val="clear" w:color="auto" w:fill="FFFFFF"/>
              </w:rPr>
              <w:t xml:space="preserve"> </w:t>
            </w:r>
            <w:r w:rsidRPr="0027082E">
              <w:rPr>
                <w:shd w:val="clear" w:color="auto" w:fill="FFFFFF"/>
              </w:rPr>
              <w:t xml:space="preserve">становить більше </w:t>
            </w:r>
            <w:r w:rsidR="00F405DF" w:rsidRPr="0027082E">
              <w:rPr>
                <w:shd w:val="clear" w:color="auto" w:fill="FFFFFF"/>
              </w:rPr>
              <w:t xml:space="preserve">або дорівнює </w:t>
            </w:r>
            <w:r w:rsidRPr="0027082E">
              <w:rPr>
                <w:shd w:val="clear" w:color="auto" w:fill="FFFFFF"/>
              </w:rPr>
              <w:t xml:space="preserve">120% </w:t>
            </w:r>
          </w:p>
        </w:tc>
        <w:tc>
          <w:tcPr>
            <w:tcW w:w="2693" w:type="dxa"/>
          </w:tcPr>
          <w:p w14:paraId="67CE8C1E" w14:textId="3A78D0E2" w:rsidR="00ED4DB2" w:rsidRPr="0027082E" w:rsidRDefault="00ED4DB2" w:rsidP="000F32C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7082E">
              <w:rPr>
                <w:sz w:val="28"/>
                <w:szCs w:val="28"/>
                <w:lang w:val="uk-UA"/>
              </w:rPr>
              <w:t xml:space="preserve">На дату </w:t>
            </w:r>
            <w:r w:rsidRPr="0027082E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оцінювання</w:t>
            </w:r>
            <w:r w:rsidRPr="0027082E">
              <w:rPr>
                <w:sz w:val="28"/>
                <w:szCs w:val="28"/>
                <w:lang w:val="uk-UA"/>
              </w:rPr>
              <w:t xml:space="preserve"> </w:t>
            </w:r>
            <w:r w:rsidRPr="0027082E">
              <w:rPr>
                <w:sz w:val="28"/>
                <w:szCs w:val="28"/>
                <w:shd w:val="clear" w:color="auto" w:fill="FFFFFF"/>
                <w:lang w:val="uk-UA"/>
              </w:rPr>
              <w:t xml:space="preserve"> співвідношення прийнятних активів і розрахункового запасу ліквідності</w:t>
            </w:r>
            <w:r w:rsidRPr="0027082E" w:rsidDel="006F41E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7082E">
              <w:rPr>
                <w:sz w:val="28"/>
                <w:szCs w:val="28"/>
                <w:shd w:val="clear" w:color="auto" w:fill="FFFFFF"/>
                <w:lang w:val="uk-UA"/>
              </w:rPr>
              <w:t xml:space="preserve">становить більше </w:t>
            </w:r>
            <w:r w:rsidR="00F405DF" w:rsidRPr="0027082E">
              <w:rPr>
                <w:sz w:val="28"/>
                <w:szCs w:val="28"/>
                <w:shd w:val="clear" w:color="auto" w:fill="FFFFFF"/>
                <w:lang w:val="uk-UA"/>
              </w:rPr>
              <w:t>або дорівнює</w:t>
            </w:r>
            <w:r w:rsidR="00F405DF" w:rsidRPr="0027082E">
              <w:rPr>
                <w:shd w:val="clear" w:color="auto" w:fill="FFFFFF"/>
                <w:lang w:val="uk-UA"/>
              </w:rPr>
              <w:t xml:space="preserve"> </w:t>
            </w:r>
            <w:r w:rsidRPr="0027082E">
              <w:rPr>
                <w:sz w:val="28"/>
                <w:szCs w:val="28"/>
                <w:shd w:val="clear" w:color="auto" w:fill="FFFFFF"/>
                <w:lang w:val="uk-UA"/>
              </w:rPr>
              <w:t xml:space="preserve">100%, але </w:t>
            </w:r>
            <w:r w:rsidR="00274E1A" w:rsidRPr="0027082E">
              <w:rPr>
                <w:sz w:val="28"/>
                <w:szCs w:val="28"/>
                <w:shd w:val="clear" w:color="auto" w:fill="FFFFFF"/>
                <w:lang w:val="uk-UA"/>
              </w:rPr>
              <w:t xml:space="preserve">менше </w:t>
            </w:r>
            <w:r w:rsidRPr="0027082E">
              <w:rPr>
                <w:sz w:val="28"/>
                <w:szCs w:val="28"/>
                <w:shd w:val="clear" w:color="auto" w:fill="FFFFFF"/>
                <w:lang w:val="uk-UA"/>
              </w:rPr>
              <w:t xml:space="preserve">120% </w:t>
            </w:r>
          </w:p>
        </w:tc>
        <w:tc>
          <w:tcPr>
            <w:tcW w:w="2438" w:type="dxa"/>
          </w:tcPr>
          <w:p w14:paraId="76AC2137" w14:textId="303C2F23" w:rsidR="00ED4DB2" w:rsidRPr="0027082E" w:rsidRDefault="00ED4DB2" w:rsidP="000F32C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7082E">
              <w:rPr>
                <w:sz w:val="28"/>
                <w:szCs w:val="28"/>
                <w:lang w:val="uk-UA"/>
              </w:rPr>
              <w:t xml:space="preserve">На дату </w:t>
            </w:r>
            <w:r w:rsidRPr="0027082E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оцінювання</w:t>
            </w:r>
            <w:r w:rsidRPr="0027082E">
              <w:rPr>
                <w:sz w:val="28"/>
                <w:szCs w:val="28"/>
                <w:lang w:val="uk-UA"/>
              </w:rPr>
              <w:t xml:space="preserve"> </w:t>
            </w:r>
            <w:r w:rsidRPr="0027082E">
              <w:rPr>
                <w:sz w:val="28"/>
                <w:szCs w:val="28"/>
                <w:shd w:val="clear" w:color="auto" w:fill="FFFFFF"/>
                <w:lang w:val="uk-UA"/>
              </w:rPr>
              <w:t xml:space="preserve"> співвідношення прийнятних активів і розрахункового запасу ліквідності</w:t>
            </w:r>
            <w:r w:rsidRPr="0027082E" w:rsidDel="006F41E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7082E">
              <w:rPr>
                <w:sz w:val="28"/>
                <w:szCs w:val="28"/>
                <w:lang w:val="uk-UA"/>
              </w:rPr>
              <w:t>становить більше</w:t>
            </w:r>
            <w:r w:rsidR="00F405DF" w:rsidRPr="0027082E">
              <w:rPr>
                <w:sz w:val="28"/>
                <w:szCs w:val="28"/>
                <w:lang w:val="uk-UA"/>
              </w:rPr>
              <w:t xml:space="preserve"> </w:t>
            </w:r>
            <w:r w:rsidR="00F405DF" w:rsidRPr="0027082E">
              <w:rPr>
                <w:sz w:val="28"/>
                <w:szCs w:val="28"/>
                <w:shd w:val="clear" w:color="auto" w:fill="FFFFFF"/>
                <w:lang w:val="uk-UA"/>
              </w:rPr>
              <w:t>або дорівнює</w:t>
            </w:r>
            <w:r w:rsidRPr="0027082E">
              <w:rPr>
                <w:sz w:val="28"/>
                <w:szCs w:val="28"/>
                <w:lang w:val="uk-UA"/>
              </w:rPr>
              <w:t xml:space="preserve"> </w:t>
            </w:r>
            <w:r w:rsidR="00F405DF" w:rsidRPr="0027082E">
              <w:rPr>
                <w:sz w:val="28"/>
                <w:szCs w:val="28"/>
                <w:lang w:val="uk-UA"/>
              </w:rPr>
              <w:t>90</w:t>
            </w:r>
            <w:r w:rsidRPr="0027082E">
              <w:rPr>
                <w:sz w:val="28"/>
                <w:szCs w:val="28"/>
                <w:lang w:val="uk-UA"/>
              </w:rPr>
              <w:t xml:space="preserve">% включно, але </w:t>
            </w:r>
            <w:r w:rsidR="00274E1A" w:rsidRPr="0027082E">
              <w:rPr>
                <w:sz w:val="28"/>
                <w:szCs w:val="28"/>
                <w:lang w:val="uk-UA"/>
              </w:rPr>
              <w:t>менше</w:t>
            </w:r>
            <w:r w:rsidRPr="0027082E">
              <w:rPr>
                <w:sz w:val="28"/>
                <w:szCs w:val="28"/>
                <w:lang w:val="uk-UA"/>
              </w:rPr>
              <w:t xml:space="preserve"> 100% </w:t>
            </w:r>
          </w:p>
        </w:tc>
        <w:tc>
          <w:tcPr>
            <w:tcW w:w="2381" w:type="dxa"/>
          </w:tcPr>
          <w:p w14:paraId="2E30F70E" w14:textId="1A6AC7FF" w:rsidR="00ED4DB2" w:rsidRPr="0027082E" w:rsidRDefault="00ED4DB2">
            <w:pPr>
              <w:pStyle w:val="rvps14"/>
              <w:spacing w:before="0" w:beforeAutospacing="0" w:after="0" w:afterAutospacing="0"/>
              <w:jc w:val="both"/>
              <w:rPr>
                <w:strike/>
                <w:sz w:val="28"/>
                <w:szCs w:val="28"/>
                <w:lang w:val="uk-UA"/>
              </w:rPr>
            </w:pPr>
            <w:r w:rsidRPr="0027082E">
              <w:rPr>
                <w:sz w:val="28"/>
                <w:szCs w:val="28"/>
                <w:lang w:val="uk-UA"/>
              </w:rPr>
              <w:t xml:space="preserve">На дату </w:t>
            </w:r>
            <w:r w:rsidRPr="0027082E">
              <w:rPr>
                <w:bCs/>
                <w:color w:val="000000"/>
                <w:sz w:val="28"/>
                <w:szCs w:val="28"/>
                <w:shd w:val="clear" w:color="auto" w:fill="FFFFFF"/>
              </w:rPr>
              <w:t>оцінювання</w:t>
            </w:r>
            <w:r w:rsidRPr="0027082E">
              <w:rPr>
                <w:sz w:val="28"/>
                <w:szCs w:val="28"/>
                <w:lang w:val="uk-UA"/>
              </w:rPr>
              <w:t xml:space="preserve"> </w:t>
            </w:r>
            <w:r w:rsidRPr="0027082E">
              <w:rPr>
                <w:sz w:val="28"/>
                <w:szCs w:val="28"/>
                <w:shd w:val="clear" w:color="auto" w:fill="FFFFFF"/>
                <w:lang w:val="uk-UA"/>
              </w:rPr>
              <w:t xml:space="preserve"> співвідношення прийнятних активів і розрахункового запасу ліквідності</w:t>
            </w:r>
            <w:r w:rsidRPr="0027082E" w:rsidDel="006F41E1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7082E">
              <w:rPr>
                <w:sz w:val="28"/>
                <w:szCs w:val="28"/>
                <w:shd w:val="clear" w:color="auto" w:fill="FFFFFF"/>
                <w:lang w:val="uk-UA"/>
              </w:rPr>
              <w:t>становить</w:t>
            </w:r>
            <w:r w:rsidRPr="0027082E">
              <w:rPr>
                <w:sz w:val="28"/>
                <w:szCs w:val="28"/>
                <w:lang w:val="uk-UA"/>
              </w:rPr>
              <w:t xml:space="preserve"> менше </w:t>
            </w:r>
            <w:r w:rsidR="00274E1A" w:rsidRPr="0027082E">
              <w:rPr>
                <w:sz w:val="28"/>
                <w:szCs w:val="28"/>
                <w:lang w:val="uk-UA"/>
              </w:rPr>
              <w:t>90</w:t>
            </w:r>
            <w:r w:rsidRPr="0027082E">
              <w:rPr>
                <w:sz w:val="28"/>
                <w:szCs w:val="28"/>
                <w:lang w:val="uk-UA"/>
              </w:rPr>
              <w:t xml:space="preserve">% </w:t>
            </w:r>
          </w:p>
        </w:tc>
        <w:tc>
          <w:tcPr>
            <w:tcW w:w="1447" w:type="dxa"/>
            <w:gridSpan w:val="2"/>
          </w:tcPr>
          <w:p w14:paraId="2782ADED" w14:textId="66A1E1F7" w:rsidR="00ED4DB2" w:rsidRPr="0027082E" w:rsidRDefault="00274E1A" w:rsidP="000F32CC">
            <w:pPr>
              <w:jc w:val="center"/>
              <w:rPr>
                <w:bCs/>
              </w:rPr>
            </w:pPr>
            <w:r w:rsidRPr="0027082E">
              <w:rPr>
                <w:bCs/>
              </w:rPr>
              <w:t>20</w:t>
            </w:r>
          </w:p>
        </w:tc>
      </w:tr>
    </w:tbl>
    <w:p w14:paraId="3ECD5BC7" w14:textId="5B56F453" w:rsidR="000D3B14" w:rsidRPr="000F32CC" w:rsidRDefault="000D3B14" w:rsidP="001D20DD">
      <w:pPr>
        <w:ind w:firstLine="4962"/>
        <w:jc w:val="right"/>
        <w:rPr>
          <w:rFonts w:eastAsia="SimSun"/>
          <w:lang w:val="ru-RU"/>
        </w:rPr>
      </w:pPr>
    </w:p>
    <w:p w14:paraId="245B5CAC" w14:textId="77777777" w:rsidR="000D3B14" w:rsidRPr="00D83ABD" w:rsidRDefault="000D3B14" w:rsidP="001D20DD">
      <w:pPr>
        <w:ind w:firstLine="4962"/>
        <w:jc w:val="right"/>
        <w:sectPr w:rsidR="000D3B14" w:rsidRPr="00D83ABD" w:rsidSect="000F32CC">
          <w:headerReference w:type="default" r:id="rId17"/>
          <w:pgSz w:w="16838" w:h="11906" w:orient="landscape" w:code="9"/>
          <w:pgMar w:top="567" w:right="567" w:bottom="1701" w:left="1701" w:header="567" w:footer="708" w:gutter="0"/>
          <w:pgNumType w:start="1"/>
          <w:cols w:space="708"/>
          <w:titlePg/>
          <w:docGrid w:linePitch="381"/>
        </w:sectPr>
      </w:pPr>
    </w:p>
    <w:p w14:paraId="345F1E7A" w14:textId="77777777" w:rsidR="00ED4DB2" w:rsidRPr="0001603E" w:rsidRDefault="00ED4DB2" w:rsidP="000F32CC">
      <w:pPr>
        <w:ind w:left="9356"/>
      </w:pPr>
      <w:r w:rsidRPr="0001603E">
        <w:lastRenderedPageBreak/>
        <w:t>Додаток 3</w:t>
      </w:r>
    </w:p>
    <w:p w14:paraId="4020F966" w14:textId="3EB5228B" w:rsidR="00ED4DB2" w:rsidRPr="00D83ABD" w:rsidRDefault="00ED4DB2" w:rsidP="000F32CC">
      <w:pPr>
        <w:keepNext/>
        <w:ind w:left="9356"/>
        <w:outlineLvl w:val="2"/>
        <w:rPr>
          <w:b/>
          <w:bCs/>
          <w:color w:val="000000"/>
        </w:rPr>
      </w:pPr>
      <w:r w:rsidRPr="0001603E">
        <w:t xml:space="preserve">до </w:t>
      </w:r>
      <w:r w:rsidRPr="0001603E">
        <w:rPr>
          <w:bCs/>
          <w:color w:val="000000"/>
        </w:rPr>
        <w:t xml:space="preserve">Положення про встановлення критеріїв, за </w:t>
      </w:r>
      <w:r w:rsidRPr="00636AE0">
        <w:rPr>
          <w:bCs/>
        </w:rPr>
        <w:t xml:space="preserve">якими оцінюється ступінь ризику від здійснення діяльності учасниками ринку небанківських фінансових послуг, їх </w:t>
      </w:r>
      <w:r w:rsidR="00F436AF" w:rsidRPr="00636AE0">
        <w:rPr>
          <w:bCs/>
        </w:rPr>
        <w:t>суспільн</w:t>
      </w:r>
      <w:r w:rsidR="00F436AF">
        <w:rPr>
          <w:bCs/>
        </w:rPr>
        <w:t>а</w:t>
      </w:r>
      <w:r w:rsidR="00F436AF" w:rsidRPr="00636AE0">
        <w:rPr>
          <w:bCs/>
        </w:rPr>
        <w:t xml:space="preserve"> </w:t>
      </w:r>
      <w:r w:rsidRPr="00636AE0">
        <w:rPr>
          <w:bCs/>
        </w:rPr>
        <w:t>важливість</w:t>
      </w:r>
    </w:p>
    <w:p w14:paraId="4C0C980B" w14:textId="11DAEDEE" w:rsidR="00ED4DB2" w:rsidRPr="00D83ABD" w:rsidRDefault="00ED4DB2" w:rsidP="000F32CC">
      <w:pPr>
        <w:keepNext/>
        <w:ind w:left="9356"/>
        <w:outlineLvl w:val="2"/>
      </w:pPr>
      <w:r w:rsidRPr="00D83ABD">
        <w:t xml:space="preserve">(пункт </w:t>
      </w:r>
      <w:r w:rsidR="0063305B">
        <w:t>10</w:t>
      </w:r>
      <w:r w:rsidR="0063305B" w:rsidRPr="00D83ABD">
        <w:t xml:space="preserve"> </w:t>
      </w:r>
      <w:r w:rsidRPr="00D83ABD">
        <w:t>розділу II)</w:t>
      </w:r>
    </w:p>
    <w:p w14:paraId="1A31BD9B" w14:textId="77777777" w:rsidR="00ED4DB2" w:rsidRPr="00D83ABD" w:rsidRDefault="00ED4DB2" w:rsidP="00ED4DB2">
      <w:pPr>
        <w:keepNext/>
        <w:ind w:left="10490"/>
        <w:outlineLvl w:val="2"/>
        <w:rPr>
          <w:b/>
          <w:bCs/>
          <w:color w:val="000000"/>
          <w:shd w:val="clear" w:color="auto" w:fill="FFFFFF"/>
        </w:rPr>
      </w:pPr>
    </w:p>
    <w:p w14:paraId="0143B476" w14:textId="68493C92" w:rsidR="00ED4DB2" w:rsidRDefault="00ED4DB2" w:rsidP="00ED4DB2">
      <w:pPr>
        <w:jc w:val="center"/>
        <w:rPr>
          <w:bCs/>
          <w:color w:val="000000"/>
          <w:shd w:val="clear" w:color="auto" w:fill="FFFFFF"/>
        </w:rPr>
      </w:pPr>
      <w:r w:rsidRPr="00D83ABD">
        <w:rPr>
          <w:bCs/>
          <w:color w:val="000000"/>
          <w:shd w:val="clear" w:color="auto" w:fill="FFFFFF"/>
        </w:rPr>
        <w:t xml:space="preserve">Критерії </w:t>
      </w:r>
      <w:r>
        <w:rPr>
          <w:bCs/>
          <w:color w:val="000000"/>
          <w:shd w:val="clear" w:color="auto" w:fill="FFFFFF"/>
        </w:rPr>
        <w:t>оцінювання</w:t>
      </w:r>
      <w:r w:rsidRPr="00D83ABD">
        <w:rPr>
          <w:bCs/>
          <w:color w:val="000000"/>
          <w:shd w:val="clear" w:color="auto" w:fill="FFFFFF"/>
        </w:rPr>
        <w:t xml:space="preserve"> ступен</w:t>
      </w:r>
      <w:r>
        <w:rPr>
          <w:bCs/>
          <w:color w:val="000000"/>
          <w:shd w:val="clear" w:color="auto" w:fill="FFFFFF"/>
        </w:rPr>
        <w:t>я</w:t>
      </w:r>
      <w:r w:rsidRPr="00D83ABD">
        <w:rPr>
          <w:bCs/>
          <w:color w:val="000000"/>
          <w:shd w:val="clear" w:color="auto" w:fill="FFFFFF"/>
        </w:rPr>
        <w:t xml:space="preserve"> ризику фінансової компанії, лізингодавця</w:t>
      </w:r>
      <w:r w:rsidRPr="00887ABE">
        <w:rPr>
          <w:bCs/>
          <w:color w:val="000000"/>
          <w:shd w:val="clear" w:color="auto" w:fill="FFFFFF"/>
        </w:rPr>
        <w:t>, ломбарду</w:t>
      </w:r>
      <w:r w:rsidR="00E43AA3" w:rsidRPr="00887ABE">
        <w:rPr>
          <w:bCs/>
          <w:color w:val="000000"/>
          <w:shd w:val="clear" w:color="auto" w:fill="FFFFFF"/>
        </w:rPr>
        <w:t xml:space="preserve"> </w:t>
      </w:r>
      <w:r w:rsidR="00C4762A" w:rsidRPr="00887ABE">
        <w:rPr>
          <w:bCs/>
          <w:color w:val="000000"/>
          <w:shd w:val="clear" w:color="auto" w:fill="FFFFFF"/>
        </w:rPr>
        <w:t>(який є учасником</w:t>
      </w:r>
      <w:r w:rsidR="00197BFA">
        <w:rPr>
          <w:bCs/>
          <w:color w:val="000000"/>
          <w:shd w:val="clear" w:color="auto" w:fill="FFFFFF"/>
        </w:rPr>
        <w:t> </w:t>
      </w:r>
      <w:r w:rsidR="007D354D" w:rsidRPr="00887ABE">
        <w:rPr>
          <w:bCs/>
          <w:color w:val="000000"/>
          <w:shd w:val="clear" w:color="auto" w:fill="FFFFFF"/>
        </w:rPr>
        <w:t>/</w:t>
      </w:r>
      <w:r w:rsidR="00197BFA">
        <w:rPr>
          <w:bCs/>
          <w:color w:val="000000"/>
          <w:shd w:val="clear" w:color="auto" w:fill="FFFFFF"/>
        </w:rPr>
        <w:t> </w:t>
      </w:r>
      <w:r w:rsidR="00C4762A" w:rsidRPr="00887ABE">
        <w:rPr>
          <w:bCs/>
          <w:color w:val="000000"/>
          <w:shd w:val="clear" w:color="auto" w:fill="FFFFFF"/>
        </w:rPr>
        <w:t>відповідальною особою фінансової групи)</w:t>
      </w:r>
    </w:p>
    <w:p w14:paraId="14E782B9" w14:textId="77777777" w:rsidR="006E1356" w:rsidRPr="00D83ABD" w:rsidRDefault="006E1356" w:rsidP="00ED4DB2">
      <w:pPr>
        <w:jc w:val="center"/>
        <w:rPr>
          <w:bCs/>
          <w:color w:val="000000"/>
          <w:shd w:val="clear" w:color="auto" w:fill="FFFFFF"/>
        </w:rPr>
      </w:pP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22"/>
        <w:gridCol w:w="2155"/>
        <w:gridCol w:w="2268"/>
        <w:gridCol w:w="2409"/>
        <w:gridCol w:w="2410"/>
        <w:gridCol w:w="2268"/>
        <w:gridCol w:w="1508"/>
      </w:tblGrid>
      <w:tr w:rsidR="00ED4DB2" w:rsidRPr="00D83ABD" w14:paraId="3EBD10A8" w14:textId="77777777" w:rsidTr="00F45C97">
        <w:tc>
          <w:tcPr>
            <w:tcW w:w="846" w:type="dxa"/>
          </w:tcPr>
          <w:p w14:paraId="1D6EBB7B" w14:textId="77777777" w:rsidR="00ED4DB2" w:rsidRDefault="00ED4DB2" w:rsidP="00F45C97">
            <w:pPr>
              <w:jc w:val="center"/>
            </w:pPr>
            <w:r w:rsidRPr="00D83ABD">
              <w:t>№</w:t>
            </w:r>
          </w:p>
          <w:p w14:paraId="3C1B2265" w14:textId="77777777" w:rsidR="00ED4DB2" w:rsidRPr="00D83ABD" w:rsidRDefault="00ED4DB2" w:rsidP="00F45C97">
            <w:pPr>
              <w:jc w:val="center"/>
            </w:pPr>
            <w:r w:rsidRPr="00D83ABD">
              <w:t>з/п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8035152" w14:textId="77777777" w:rsidR="00ED4DB2" w:rsidRDefault="00ED4DB2" w:rsidP="003B0FDF">
            <w:pPr>
              <w:ind w:left="-57" w:right="-57"/>
              <w:jc w:val="center"/>
            </w:pPr>
            <w:r w:rsidRPr="00D83ABD">
              <w:t>№</w:t>
            </w:r>
          </w:p>
          <w:p w14:paraId="3253AA08" w14:textId="04F62DC7" w:rsidR="00ED4DB2" w:rsidRDefault="00ED4DB2" w:rsidP="003B0FDF">
            <w:pPr>
              <w:ind w:left="-57" w:right="-57"/>
              <w:jc w:val="center"/>
            </w:pPr>
            <w:r>
              <w:t>к</w:t>
            </w:r>
            <w:r w:rsidRPr="00D83ABD">
              <w:t>ри</w:t>
            </w:r>
            <w:r>
              <w:t>-</w:t>
            </w:r>
            <w:r w:rsidRPr="00D83ABD">
              <w:t>те</w:t>
            </w:r>
            <w:r>
              <w:t>-</w:t>
            </w:r>
            <w:r w:rsidRPr="00D83ABD">
              <w:t>ріїв</w:t>
            </w:r>
            <w:r w:rsidR="00673332">
              <w:t> </w:t>
            </w:r>
            <w:r w:rsidRPr="00D83ABD">
              <w:t>/</w:t>
            </w:r>
          </w:p>
          <w:p w14:paraId="4EAEB678" w14:textId="77777777" w:rsidR="00ED4DB2" w:rsidRPr="00D83ABD" w:rsidRDefault="00ED4DB2" w:rsidP="003B0FDF">
            <w:pPr>
              <w:ind w:left="-57" w:right="-57"/>
              <w:jc w:val="center"/>
              <w:rPr>
                <w:color w:val="F2F2F2"/>
              </w:rPr>
            </w:pPr>
            <w:r w:rsidRPr="00D83ABD">
              <w:t>по</w:t>
            </w:r>
            <w:r>
              <w:t>-</w:t>
            </w:r>
            <w:r w:rsidRPr="00D83ABD">
              <w:t>каз</w:t>
            </w:r>
            <w:r>
              <w:t>-</w:t>
            </w:r>
            <w:r w:rsidRPr="00D83ABD">
              <w:t>ни</w:t>
            </w:r>
            <w:r>
              <w:t>-</w:t>
            </w:r>
            <w:r w:rsidRPr="00D83ABD">
              <w:t>ків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1F9AF0F6" w14:textId="77777777" w:rsidR="00ED4DB2" w:rsidRPr="00D83ABD" w:rsidRDefault="00ED4DB2" w:rsidP="00F45C97"/>
          <w:p w14:paraId="161ADF44" w14:textId="77777777" w:rsidR="00ED4DB2" w:rsidRPr="00D83ABD" w:rsidRDefault="00ED4DB2" w:rsidP="00F45C97">
            <w:pPr>
              <w:rPr>
                <w:color w:val="F2F2F2"/>
              </w:rPr>
            </w:pPr>
            <w:r w:rsidRPr="00D83ABD">
              <w:t>Назви критеріїв та їх показників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FF3FBA3" w14:textId="77777777" w:rsidR="00ED4DB2" w:rsidRPr="00D83ABD" w:rsidRDefault="00ED4DB2" w:rsidP="00F45C97">
            <w:pPr>
              <w:jc w:val="center"/>
              <w:rPr>
                <w:bCs/>
              </w:rPr>
            </w:pPr>
          </w:p>
          <w:p w14:paraId="6E095E13" w14:textId="77777777" w:rsidR="00ED4DB2" w:rsidRDefault="00ED4DB2" w:rsidP="00F45C97">
            <w:pPr>
              <w:jc w:val="center"/>
              <w:rPr>
                <w:bCs/>
              </w:rPr>
            </w:pPr>
            <w:r w:rsidRPr="00D83ABD">
              <w:rPr>
                <w:bCs/>
              </w:rPr>
              <w:t xml:space="preserve">“1” </w:t>
            </w:r>
          </w:p>
          <w:p w14:paraId="786AF224" w14:textId="77777777" w:rsidR="00ED4DB2" w:rsidRPr="003B0FDF" w:rsidRDefault="00ED4DB2" w:rsidP="00F45C97">
            <w:pPr>
              <w:jc w:val="center"/>
              <w:rPr>
                <w:bCs/>
                <w:color w:val="000000" w:themeColor="text1"/>
              </w:rPr>
            </w:pPr>
            <w:r w:rsidRPr="00D83ABD">
              <w:rPr>
                <w:bCs/>
              </w:rPr>
              <w:t>(низький ступінь ризику)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9D83701" w14:textId="77777777" w:rsidR="00ED4DB2" w:rsidRPr="00D83ABD" w:rsidRDefault="00ED4DB2" w:rsidP="00F45C97">
            <w:pPr>
              <w:jc w:val="center"/>
              <w:rPr>
                <w:bCs/>
              </w:rPr>
            </w:pPr>
          </w:p>
          <w:p w14:paraId="36C2F8CE" w14:textId="77777777" w:rsidR="00ED4DB2" w:rsidRDefault="00ED4DB2" w:rsidP="00F45C97">
            <w:pPr>
              <w:jc w:val="center"/>
              <w:rPr>
                <w:bCs/>
              </w:rPr>
            </w:pPr>
            <w:r w:rsidRPr="00D83ABD">
              <w:rPr>
                <w:bCs/>
              </w:rPr>
              <w:t>“2”</w:t>
            </w:r>
          </w:p>
          <w:p w14:paraId="70CFCFB3" w14:textId="77777777" w:rsidR="00ED4DB2" w:rsidRPr="003B0FDF" w:rsidRDefault="00ED4DB2" w:rsidP="00F45C97">
            <w:pPr>
              <w:jc w:val="center"/>
              <w:rPr>
                <w:bCs/>
                <w:color w:val="000000" w:themeColor="text1"/>
              </w:rPr>
            </w:pPr>
            <w:r w:rsidRPr="00D83ABD">
              <w:rPr>
                <w:bCs/>
              </w:rPr>
              <w:t>(середній ступінь ризику)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F5FF033" w14:textId="77777777" w:rsidR="00ED4DB2" w:rsidRPr="00D83ABD" w:rsidRDefault="00ED4DB2" w:rsidP="00F45C97">
            <w:pPr>
              <w:jc w:val="center"/>
              <w:rPr>
                <w:bCs/>
              </w:rPr>
            </w:pPr>
          </w:p>
          <w:p w14:paraId="4E8EBD34" w14:textId="77777777" w:rsidR="00ED4DB2" w:rsidRDefault="00ED4DB2" w:rsidP="00F45C97">
            <w:pPr>
              <w:jc w:val="center"/>
              <w:rPr>
                <w:bCs/>
              </w:rPr>
            </w:pPr>
            <w:r w:rsidRPr="00D83ABD">
              <w:rPr>
                <w:bCs/>
              </w:rPr>
              <w:t>“3”</w:t>
            </w:r>
          </w:p>
          <w:p w14:paraId="54FD444A" w14:textId="77777777" w:rsidR="00ED4DB2" w:rsidRPr="003B0FDF" w:rsidRDefault="00ED4DB2" w:rsidP="00F45C97">
            <w:pPr>
              <w:jc w:val="center"/>
              <w:rPr>
                <w:bCs/>
                <w:color w:val="000000" w:themeColor="text1"/>
              </w:rPr>
            </w:pPr>
            <w:r w:rsidRPr="00D83ABD">
              <w:rPr>
                <w:bCs/>
              </w:rPr>
              <w:t>(високий ступінь ризику)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331A0E7" w14:textId="77777777" w:rsidR="00ED4DB2" w:rsidRPr="00D83ABD" w:rsidRDefault="00ED4DB2" w:rsidP="00F45C97">
            <w:pPr>
              <w:jc w:val="center"/>
              <w:rPr>
                <w:bCs/>
              </w:rPr>
            </w:pPr>
          </w:p>
          <w:p w14:paraId="71F68579" w14:textId="77777777" w:rsidR="00ED4DB2" w:rsidRDefault="00ED4DB2" w:rsidP="00F45C97">
            <w:pPr>
              <w:jc w:val="center"/>
              <w:rPr>
                <w:bCs/>
              </w:rPr>
            </w:pPr>
            <w:r w:rsidRPr="00D83ABD">
              <w:rPr>
                <w:bCs/>
              </w:rPr>
              <w:t xml:space="preserve">“4” </w:t>
            </w:r>
          </w:p>
          <w:p w14:paraId="196B5EB5" w14:textId="77777777" w:rsidR="00ED4DB2" w:rsidRPr="003B0FDF" w:rsidRDefault="00ED4DB2" w:rsidP="00F45C97">
            <w:pPr>
              <w:jc w:val="center"/>
              <w:rPr>
                <w:bCs/>
                <w:color w:val="000000" w:themeColor="text1"/>
              </w:rPr>
            </w:pPr>
            <w:r w:rsidRPr="00D83ABD">
              <w:rPr>
                <w:bCs/>
              </w:rPr>
              <w:t>(критичний ступінь ризику)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471D0106" w14:textId="630E84E9" w:rsidR="00ED4DB2" w:rsidRPr="00D83ABD" w:rsidRDefault="00ED4DB2" w:rsidP="00F45C97">
            <w:pPr>
              <w:jc w:val="center"/>
              <w:rPr>
                <w:bCs/>
                <w:color w:val="F2F2F2"/>
              </w:rPr>
            </w:pPr>
            <w:r w:rsidRPr="00D83ABD">
              <w:rPr>
                <w:bCs/>
              </w:rPr>
              <w:t>Вага критерію в ступені ризику</w:t>
            </w:r>
            <w:r w:rsidR="00BF776C">
              <w:rPr>
                <w:bCs/>
                <w:lang w:val="ru-RU"/>
              </w:rPr>
              <w:t> </w:t>
            </w:r>
            <w:r w:rsidRPr="00D83ABD">
              <w:rPr>
                <w:bCs/>
              </w:rPr>
              <w:t xml:space="preserve">/ </w:t>
            </w:r>
            <w:r>
              <w:rPr>
                <w:bCs/>
              </w:rPr>
              <w:t>в</w:t>
            </w:r>
            <w:r w:rsidRPr="00D83ABD">
              <w:rPr>
                <w:bCs/>
              </w:rPr>
              <w:t>ага показника в критерії, %</w:t>
            </w:r>
          </w:p>
        </w:tc>
      </w:tr>
    </w:tbl>
    <w:p w14:paraId="7634CFD3" w14:textId="77777777" w:rsidR="00ED4DB2" w:rsidRPr="00D83ABD" w:rsidRDefault="00ED4DB2" w:rsidP="00ED4DB2">
      <w:pPr>
        <w:rPr>
          <w:sz w:val="2"/>
        </w:rPr>
      </w:pPr>
    </w:p>
    <w:tbl>
      <w:tblPr>
        <w:tblW w:w="14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88"/>
        <w:gridCol w:w="2189"/>
        <w:gridCol w:w="2268"/>
        <w:gridCol w:w="2409"/>
        <w:gridCol w:w="2410"/>
        <w:gridCol w:w="2268"/>
        <w:gridCol w:w="1508"/>
      </w:tblGrid>
      <w:tr w:rsidR="00ED4DB2" w:rsidRPr="00D83ABD" w14:paraId="249F92F3" w14:textId="77777777" w:rsidTr="002D2AD2">
        <w:trPr>
          <w:tblHeader/>
        </w:trPr>
        <w:tc>
          <w:tcPr>
            <w:tcW w:w="846" w:type="dxa"/>
          </w:tcPr>
          <w:p w14:paraId="6315C6D7" w14:textId="77777777" w:rsidR="00ED4DB2" w:rsidRPr="00D83ABD" w:rsidRDefault="00ED4DB2" w:rsidP="002D2AD2">
            <w:pPr>
              <w:jc w:val="center"/>
            </w:pPr>
            <w:r w:rsidRPr="00D83ABD">
              <w:t>1</w:t>
            </w:r>
          </w:p>
        </w:tc>
        <w:tc>
          <w:tcPr>
            <w:tcW w:w="788" w:type="dxa"/>
            <w:shd w:val="clear" w:color="auto" w:fill="auto"/>
          </w:tcPr>
          <w:p w14:paraId="557A033E" w14:textId="77777777" w:rsidR="00ED4DB2" w:rsidRPr="00D83ABD" w:rsidRDefault="00ED4DB2" w:rsidP="002D2AD2">
            <w:pPr>
              <w:jc w:val="center"/>
            </w:pPr>
            <w:r w:rsidRPr="00D83ABD">
              <w:t>2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</w:tcPr>
          <w:p w14:paraId="44DB32E5" w14:textId="77777777" w:rsidR="00ED4DB2" w:rsidRPr="00D83ABD" w:rsidRDefault="00ED4DB2" w:rsidP="002D2AD2">
            <w:pPr>
              <w:jc w:val="center"/>
            </w:pPr>
            <w:r w:rsidRPr="00D83ABD"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3C5F13" w14:textId="77777777" w:rsidR="00ED4DB2" w:rsidRPr="00D83ABD" w:rsidRDefault="00ED4DB2" w:rsidP="002D2AD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F181440" w14:textId="77777777" w:rsidR="00ED4DB2" w:rsidRPr="00D83ABD" w:rsidRDefault="00ED4DB2" w:rsidP="002D2AD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9CDA581" w14:textId="77777777" w:rsidR="00ED4DB2" w:rsidRPr="00D83ABD" w:rsidRDefault="00ED4DB2" w:rsidP="002D2AD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531FED" w14:textId="77777777" w:rsidR="00ED4DB2" w:rsidRPr="00D83ABD" w:rsidRDefault="00ED4DB2" w:rsidP="002D2AD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7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14:paraId="1CFCADAD" w14:textId="77777777" w:rsidR="00ED4DB2" w:rsidRPr="00D83ABD" w:rsidRDefault="00ED4DB2" w:rsidP="002D2AD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8</w:t>
            </w:r>
          </w:p>
        </w:tc>
      </w:tr>
      <w:tr w:rsidR="00ED4DB2" w:rsidRPr="00D83ABD" w14:paraId="241F9CED" w14:textId="77777777" w:rsidTr="002D2AD2">
        <w:tc>
          <w:tcPr>
            <w:tcW w:w="846" w:type="dxa"/>
          </w:tcPr>
          <w:p w14:paraId="18D54A99" w14:textId="77777777" w:rsidR="00ED4DB2" w:rsidRPr="0027082E" w:rsidRDefault="00ED4DB2" w:rsidP="002D2AD2">
            <w:pPr>
              <w:jc w:val="center"/>
            </w:pPr>
            <w:r w:rsidRPr="0027082E">
              <w:t>1</w:t>
            </w:r>
          </w:p>
        </w:tc>
        <w:tc>
          <w:tcPr>
            <w:tcW w:w="788" w:type="dxa"/>
          </w:tcPr>
          <w:p w14:paraId="499B8CA6" w14:textId="77777777" w:rsidR="00ED4DB2" w:rsidRPr="0027082E" w:rsidRDefault="00ED4DB2" w:rsidP="002D2AD2">
            <w:pPr>
              <w:jc w:val="center"/>
            </w:pPr>
            <w:r w:rsidRPr="0027082E">
              <w:t>1</w:t>
            </w:r>
          </w:p>
        </w:tc>
        <w:tc>
          <w:tcPr>
            <w:tcW w:w="11544" w:type="dxa"/>
            <w:gridSpan w:val="5"/>
          </w:tcPr>
          <w:p w14:paraId="6F6F9791" w14:textId="12DD511D" w:rsidR="00ED4DB2" w:rsidRPr="0027082E" w:rsidRDefault="00ED4DB2" w:rsidP="0055080D">
            <w:pPr>
              <w:rPr>
                <w:bCs/>
              </w:rPr>
            </w:pPr>
            <w:r w:rsidRPr="0027082E">
              <w:t>Стан</w:t>
            </w:r>
            <w:r w:rsidR="00B04785">
              <w:t xml:space="preserve"> </w:t>
            </w:r>
            <w:r w:rsidRPr="0027082E">
              <w:t>управління ризиками та внутрішнього контролю</w:t>
            </w:r>
          </w:p>
        </w:tc>
        <w:tc>
          <w:tcPr>
            <w:tcW w:w="1508" w:type="dxa"/>
          </w:tcPr>
          <w:p w14:paraId="271678A8" w14:textId="77777777" w:rsidR="00ED4DB2" w:rsidRPr="0027082E" w:rsidRDefault="00ED4DB2" w:rsidP="002D2AD2">
            <w:pPr>
              <w:jc w:val="center"/>
              <w:rPr>
                <w:bCs/>
              </w:rPr>
            </w:pPr>
            <w:r w:rsidRPr="0027082E">
              <w:rPr>
                <w:bCs/>
              </w:rPr>
              <w:t>75</w:t>
            </w:r>
          </w:p>
        </w:tc>
      </w:tr>
      <w:tr w:rsidR="001D20DD" w:rsidRPr="00D83ABD" w14:paraId="107A4B5C" w14:textId="77777777" w:rsidTr="002D2AD2">
        <w:tc>
          <w:tcPr>
            <w:tcW w:w="846" w:type="dxa"/>
          </w:tcPr>
          <w:p w14:paraId="6BD3E60B" w14:textId="77777777" w:rsidR="001D20DD" w:rsidRPr="0027082E" w:rsidRDefault="001D20DD" w:rsidP="002D2AD2">
            <w:pPr>
              <w:jc w:val="center"/>
            </w:pPr>
            <w:r w:rsidRPr="0027082E">
              <w:t>2</w:t>
            </w:r>
          </w:p>
        </w:tc>
        <w:tc>
          <w:tcPr>
            <w:tcW w:w="788" w:type="dxa"/>
          </w:tcPr>
          <w:p w14:paraId="3B2D2BCF" w14:textId="77777777" w:rsidR="001D20DD" w:rsidRPr="0027082E" w:rsidRDefault="001D20DD" w:rsidP="002D2AD2">
            <w:r w:rsidRPr="0027082E">
              <w:t xml:space="preserve">1.1 </w:t>
            </w:r>
          </w:p>
        </w:tc>
        <w:tc>
          <w:tcPr>
            <w:tcW w:w="2189" w:type="dxa"/>
          </w:tcPr>
          <w:p w14:paraId="0BCB3295" w14:textId="77777777" w:rsidR="00B71A0E" w:rsidRDefault="00B71A0E" w:rsidP="002D2AD2">
            <w:pPr>
              <w:ind w:hanging="73"/>
            </w:pPr>
            <w:r>
              <w:t>Виконання</w:t>
            </w:r>
          </w:p>
          <w:p w14:paraId="4EF668C2" w14:textId="17329D5A" w:rsidR="001D20DD" w:rsidRPr="0027082E" w:rsidRDefault="001D20DD" w:rsidP="002D2AD2">
            <w:pPr>
              <w:ind w:hanging="73"/>
              <w:rPr>
                <w:bCs/>
                <w:color w:val="000000"/>
              </w:rPr>
            </w:pPr>
            <w:r w:rsidRPr="0027082E">
              <w:t>заходів впливу</w:t>
            </w:r>
          </w:p>
        </w:tc>
        <w:tc>
          <w:tcPr>
            <w:tcW w:w="2268" w:type="dxa"/>
          </w:tcPr>
          <w:p w14:paraId="5E1DBC08" w14:textId="77777777" w:rsidR="001D20DD" w:rsidRPr="0027082E" w:rsidRDefault="001D20DD" w:rsidP="002D2AD2">
            <w:pPr>
              <w:rPr>
                <w:bCs/>
                <w:color w:val="000000"/>
              </w:rPr>
            </w:pPr>
            <w:r w:rsidRPr="0027082E">
              <w:t>Протягом періоду оцінювання до учасника не застосовувалися заходи впливу</w:t>
            </w:r>
          </w:p>
        </w:tc>
        <w:tc>
          <w:tcPr>
            <w:tcW w:w="2409" w:type="dxa"/>
          </w:tcPr>
          <w:p w14:paraId="35C36BC7" w14:textId="77777777" w:rsidR="001D20DD" w:rsidRPr="0027082E" w:rsidRDefault="001D20DD" w:rsidP="002D2AD2">
            <w:pPr>
              <w:rPr>
                <w:bCs/>
                <w:color w:val="000000"/>
              </w:rPr>
            </w:pPr>
            <w:r w:rsidRPr="0027082E">
              <w:t xml:space="preserve">Протягом періоду оцінювання до учасника було застосовано один захід впливу, який станом на дату оцінювання виконано або </w:t>
            </w:r>
            <w:r w:rsidRPr="0027082E">
              <w:lastRenderedPageBreak/>
              <w:t>строк виконання за яким ще не настав</w:t>
            </w:r>
          </w:p>
        </w:tc>
        <w:tc>
          <w:tcPr>
            <w:tcW w:w="2410" w:type="dxa"/>
          </w:tcPr>
          <w:p w14:paraId="250A8836" w14:textId="77777777" w:rsidR="001D20DD" w:rsidRPr="0027082E" w:rsidRDefault="001D20DD" w:rsidP="002D2AD2">
            <w:pPr>
              <w:rPr>
                <w:bCs/>
                <w:color w:val="000000"/>
              </w:rPr>
            </w:pPr>
            <w:r w:rsidRPr="0027082E">
              <w:lastRenderedPageBreak/>
              <w:t xml:space="preserve">Протягом періоду оцінювання до учасника було застосовано два і більше заходів впливу, які станом на дату оцінювання </w:t>
            </w:r>
            <w:r w:rsidRPr="0027082E">
              <w:lastRenderedPageBreak/>
              <w:t>виконано або строк виконання за якими ще не настав</w:t>
            </w:r>
          </w:p>
        </w:tc>
        <w:tc>
          <w:tcPr>
            <w:tcW w:w="2268" w:type="dxa"/>
          </w:tcPr>
          <w:p w14:paraId="0641EF17" w14:textId="519188A1" w:rsidR="002D76FA" w:rsidRPr="0027082E" w:rsidRDefault="002D76FA" w:rsidP="002D2AD2">
            <w:r w:rsidRPr="0027082E">
              <w:lastRenderedPageBreak/>
              <w:t>Протягом періоду оцінювання до учасника було застосовано один (або більше) захід</w:t>
            </w:r>
            <w:r w:rsidR="008D0D3D">
              <w:t xml:space="preserve"> (заходів)</w:t>
            </w:r>
            <w:r w:rsidRPr="0027082E">
              <w:t xml:space="preserve"> впливу, </w:t>
            </w:r>
            <w:r w:rsidRPr="0027082E">
              <w:lastRenderedPageBreak/>
              <w:t>який</w:t>
            </w:r>
            <w:r w:rsidR="008D0D3D">
              <w:t xml:space="preserve"> (які)</w:t>
            </w:r>
            <w:r w:rsidRPr="0027082E">
              <w:t xml:space="preserve"> станом на дату оцінювання не виконано </w:t>
            </w:r>
            <w:r w:rsidR="008D0D3D">
              <w:t>в</w:t>
            </w:r>
            <w:r w:rsidRPr="0027082E">
              <w:t xml:space="preserve"> </w:t>
            </w:r>
            <w:r w:rsidR="008D0D3D">
              <w:t>у</w:t>
            </w:r>
            <w:r w:rsidRPr="0027082E">
              <w:t>становлений строк</w:t>
            </w:r>
          </w:p>
          <w:p w14:paraId="20184E12" w14:textId="7A23A52B" w:rsidR="001D20DD" w:rsidRPr="0027082E" w:rsidRDefault="001D20DD" w:rsidP="002D2AD2">
            <w:pPr>
              <w:rPr>
                <w:bCs/>
                <w:color w:val="000000"/>
              </w:rPr>
            </w:pPr>
          </w:p>
        </w:tc>
        <w:tc>
          <w:tcPr>
            <w:tcW w:w="1508" w:type="dxa"/>
          </w:tcPr>
          <w:p w14:paraId="5F77C2D5" w14:textId="7660DC8A" w:rsidR="001D20DD" w:rsidRPr="0027082E" w:rsidRDefault="00D158C3" w:rsidP="002D2AD2">
            <w:pPr>
              <w:jc w:val="center"/>
              <w:rPr>
                <w:bCs/>
                <w:color w:val="000000"/>
              </w:rPr>
            </w:pPr>
            <w:r w:rsidRPr="0027082E">
              <w:rPr>
                <w:bCs/>
                <w:lang w:val="ru-RU"/>
              </w:rPr>
              <w:lastRenderedPageBreak/>
              <w:t>60</w:t>
            </w:r>
          </w:p>
        </w:tc>
      </w:tr>
      <w:tr w:rsidR="00ED4DB2" w:rsidRPr="00D83ABD" w14:paraId="207B8F5A" w14:textId="77777777" w:rsidTr="002D2AD2">
        <w:trPr>
          <w:trHeight w:val="155"/>
        </w:trPr>
        <w:tc>
          <w:tcPr>
            <w:tcW w:w="846" w:type="dxa"/>
          </w:tcPr>
          <w:p w14:paraId="3EA9C411" w14:textId="77777777" w:rsidR="00ED4DB2" w:rsidRPr="0027082E" w:rsidRDefault="00ED4DB2" w:rsidP="002D2AD2">
            <w:pPr>
              <w:jc w:val="center"/>
            </w:pPr>
            <w:r w:rsidRPr="0027082E">
              <w:t>3</w:t>
            </w:r>
          </w:p>
        </w:tc>
        <w:tc>
          <w:tcPr>
            <w:tcW w:w="788" w:type="dxa"/>
          </w:tcPr>
          <w:p w14:paraId="11D38A22" w14:textId="77777777" w:rsidR="00ED4DB2" w:rsidRPr="0027082E" w:rsidRDefault="00ED4DB2" w:rsidP="002D2AD2">
            <w:r w:rsidRPr="0027082E">
              <w:t>1.2</w:t>
            </w:r>
          </w:p>
        </w:tc>
        <w:tc>
          <w:tcPr>
            <w:tcW w:w="2189" w:type="dxa"/>
          </w:tcPr>
          <w:p w14:paraId="7B66F88A" w14:textId="4024524F" w:rsidR="00ED4DB2" w:rsidRPr="0027082E" w:rsidRDefault="00ED4DB2" w:rsidP="00547531">
            <w:pPr>
              <w:rPr>
                <w:color w:val="FF0000"/>
              </w:rPr>
            </w:pPr>
            <w:r w:rsidRPr="0027082E">
              <w:rPr>
                <w:color w:val="000000"/>
              </w:rPr>
              <w:t xml:space="preserve">Подання </w:t>
            </w:r>
            <w:r w:rsidR="0045128D" w:rsidRPr="0027082E">
              <w:t xml:space="preserve"> файлів </w:t>
            </w:r>
            <w:r w:rsidR="008D0D3D">
              <w:t>і</w:t>
            </w:r>
            <w:r w:rsidR="0045128D" w:rsidRPr="0027082E">
              <w:t>з показниками звітності</w:t>
            </w:r>
            <w:r w:rsidR="0045128D" w:rsidRPr="0027082E" w:rsidDel="0045128D">
              <w:rPr>
                <w:color w:val="000000"/>
              </w:rPr>
              <w:t xml:space="preserve"> </w:t>
            </w:r>
            <w:r w:rsidRPr="0027082E">
              <w:rPr>
                <w:color w:val="000000"/>
              </w:rPr>
              <w:t>та інших  документів</w:t>
            </w:r>
            <w:r w:rsidR="0045128D" w:rsidRPr="0027082E">
              <w:rPr>
                <w:color w:val="000000"/>
              </w:rPr>
              <w:t xml:space="preserve">, </w:t>
            </w:r>
            <w:r w:rsidR="0045128D" w:rsidRPr="0027082E">
              <w:t xml:space="preserve"> передбачених д</w:t>
            </w:r>
            <w:r w:rsidR="00547531">
              <w:t>ля</w:t>
            </w:r>
            <w:r w:rsidR="0045128D" w:rsidRPr="0027082E">
              <w:t xml:space="preserve"> </w:t>
            </w:r>
            <w:r w:rsidR="008D0D3D">
              <w:t xml:space="preserve">періодичного </w:t>
            </w:r>
            <w:r w:rsidR="0045128D" w:rsidRPr="0027082E">
              <w:t xml:space="preserve">подання </w:t>
            </w:r>
          </w:p>
        </w:tc>
        <w:tc>
          <w:tcPr>
            <w:tcW w:w="2268" w:type="dxa"/>
          </w:tcPr>
          <w:p w14:paraId="3859BD32" w14:textId="209455BE" w:rsidR="00ED4DB2" w:rsidRPr="0027082E" w:rsidRDefault="00ED4DB2" w:rsidP="00547531">
            <w:pPr>
              <w:rPr>
                <w:color w:val="FF0000"/>
              </w:rPr>
            </w:pPr>
            <w:r w:rsidRPr="0027082E">
              <w:rPr>
                <w:shd w:val="clear" w:color="auto" w:fill="FFFFFF"/>
                <w:lang w:eastAsia="ru-RU"/>
              </w:rPr>
              <w:t xml:space="preserve">Протягом періоду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</w:t>
            </w:r>
            <w:r w:rsidR="0045128D" w:rsidRPr="0027082E">
              <w:t xml:space="preserve"> файли з показниками звітності</w:t>
            </w:r>
            <w:r w:rsidR="0045128D" w:rsidRPr="0027082E" w:rsidDel="0045128D">
              <w:t xml:space="preserve"> </w:t>
            </w:r>
            <w:r w:rsidRPr="0027082E">
              <w:t>та/або інші документи, передбачені д</w:t>
            </w:r>
            <w:r w:rsidR="00547531">
              <w:t>ля</w:t>
            </w:r>
            <w:r w:rsidRPr="0027082E">
              <w:t xml:space="preserve"> </w:t>
            </w:r>
            <w:r w:rsidR="008D0D3D">
              <w:t xml:space="preserve">періодичного </w:t>
            </w:r>
            <w:r w:rsidRPr="0027082E">
              <w:t>подання,</w:t>
            </w:r>
            <w:r w:rsidRPr="0027082E">
              <w:rPr>
                <w:color w:val="000000"/>
              </w:rPr>
              <w:t xml:space="preserve"> </w:t>
            </w:r>
            <w:r w:rsidRPr="0027082E">
              <w:t xml:space="preserve">подавалися </w:t>
            </w:r>
            <w:r w:rsidR="00583C66">
              <w:t xml:space="preserve">до </w:t>
            </w:r>
            <w:r w:rsidRPr="0027082E">
              <w:t>Національно</w:t>
            </w:r>
            <w:r w:rsidR="00583C66">
              <w:t>го</w:t>
            </w:r>
            <w:r w:rsidRPr="0027082E">
              <w:t xml:space="preserve"> банку </w:t>
            </w:r>
            <w:r w:rsidR="008D0D3D">
              <w:t xml:space="preserve"> України (далі – Національний банк) </w:t>
            </w:r>
            <w:r w:rsidRPr="0027082E">
              <w:t xml:space="preserve">вчасно </w:t>
            </w:r>
          </w:p>
        </w:tc>
        <w:tc>
          <w:tcPr>
            <w:tcW w:w="2409" w:type="dxa"/>
          </w:tcPr>
          <w:p w14:paraId="65BBF2C4" w14:textId="6EA2EFD6" w:rsidR="00ED4DB2" w:rsidRPr="0027082E" w:rsidRDefault="00ED4DB2" w:rsidP="00547531">
            <w:r w:rsidRPr="0027082E">
              <w:rPr>
                <w:shd w:val="clear" w:color="auto" w:fill="FFFFFF"/>
                <w:lang w:eastAsia="ru-RU"/>
              </w:rPr>
              <w:t xml:space="preserve">Протягом періоду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зафіксовано </w:t>
            </w:r>
            <w:r w:rsidR="00721471" w:rsidRPr="0027082E">
              <w:t xml:space="preserve"> застосування заходу впливу за </w:t>
            </w:r>
            <w:r w:rsidRPr="0027082E">
              <w:t xml:space="preserve">один факт несвоєчасного подання Національному банку </w:t>
            </w:r>
            <w:r w:rsidR="0045128D" w:rsidRPr="0027082E">
              <w:t xml:space="preserve">файлів </w:t>
            </w:r>
            <w:r w:rsidR="00A01BEF">
              <w:t>і</w:t>
            </w:r>
            <w:r w:rsidR="0045128D" w:rsidRPr="0027082E">
              <w:t>з показниками звітності</w:t>
            </w:r>
            <w:r w:rsidR="0045128D" w:rsidRPr="0027082E" w:rsidDel="0045128D">
              <w:t xml:space="preserve"> </w:t>
            </w:r>
            <w:r w:rsidRPr="0027082E">
              <w:t>та/або інших документів, що передбачені д</w:t>
            </w:r>
            <w:r w:rsidR="00547531">
              <w:t>ля</w:t>
            </w:r>
            <w:r w:rsidRPr="0027082E">
              <w:t xml:space="preserve"> </w:t>
            </w:r>
            <w:r w:rsidR="00A01BEF">
              <w:t xml:space="preserve">періодичного </w:t>
            </w:r>
            <w:r w:rsidRPr="0027082E">
              <w:t xml:space="preserve">подання </w:t>
            </w:r>
            <w:r w:rsidR="00721471" w:rsidRPr="0027082E">
              <w:t xml:space="preserve"> </w:t>
            </w:r>
          </w:p>
        </w:tc>
        <w:tc>
          <w:tcPr>
            <w:tcW w:w="2410" w:type="dxa"/>
          </w:tcPr>
          <w:p w14:paraId="765D2D9B" w14:textId="34F54DCF" w:rsidR="00ED4DB2" w:rsidRPr="0027082E" w:rsidRDefault="00ED4DB2" w:rsidP="00547531">
            <w:pPr>
              <w:rPr>
                <w:color w:val="FF0000"/>
              </w:rPr>
            </w:pPr>
            <w:r w:rsidRPr="0027082E">
              <w:rPr>
                <w:shd w:val="clear" w:color="auto" w:fill="FFFFFF"/>
                <w:lang w:eastAsia="ru-RU"/>
              </w:rPr>
              <w:t xml:space="preserve">Протягом періоду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зафіксовано </w:t>
            </w:r>
            <w:r w:rsidR="00721471" w:rsidRPr="0027082E">
              <w:t xml:space="preserve"> застосування заходу впливу за </w:t>
            </w:r>
            <w:r w:rsidRPr="0027082E">
              <w:t>два або більше фактів несвоєчасн</w:t>
            </w:r>
            <w:r w:rsidR="00887ABE" w:rsidRPr="0027082E">
              <w:t xml:space="preserve">ого подання Національному банку </w:t>
            </w:r>
            <w:r w:rsidR="00721471" w:rsidRPr="0027082E">
              <w:t xml:space="preserve">файлів </w:t>
            </w:r>
            <w:r w:rsidR="00A01BEF">
              <w:t>і</w:t>
            </w:r>
            <w:r w:rsidR="00721471" w:rsidRPr="0027082E">
              <w:t xml:space="preserve">з показниками звітності </w:t>
            </w:r>
            <w:r w:rsidRPr="0027082E">
              <w:t>та/або інших документів, що передбачені д</w:t>
            </w:r>
            <w:r w:rsidR="00547531">
              <w:t>ля</w:t>
            </w:r>
            <w:r w:rsidRPr="0027082E">
              <w:t xml:space="preserve"> </w:t>
            </w:r>
            <w:r w:rsidR="00A01BEF">
              <w:lastRenderedPageBreak/>
              <w:t xml:space="preserve">періодичного </w:t>
            </w:r>
            <w:r w:rsidRPr="0027082E">
              <w:t xml:space="preserve">подання  </w:t>
            </w:r>
          </w:p>
        </w:tc>
        <w:tc>
          <w:tcPr>
            <w:tcW w:w="2268" w:type="dxa"/>
          </w:tcPr>
          <w:p w14:paraId="6FAB7C6E" w14:textId="290A104D" w:rsidR="00ED4DB2" w:rsidRPr="0027082E" w:rsidRDefault="00ED4DB2" w:rsidP="00547531">
            <w:pPr>
              <w:tabs>
                <w:tab w:val="left" w:pos="6145"/>
              </w:tabs>
              <w:ind w:right="66"/>
              <w:rPr>
                <w:color w:val="FF0000"/>
              </w:rPr>
            </w:pPr>
            <w:r w:rsidRPr="0027082E">
              <w:rPr>
                <w:shd w:val="clear" w:color="auto" w:fill="FFFFFF"/>
                <w:lang w:eastAsia="ru-RU"/>
              </w:rPr>
              <w:lastRenderedPageBreak/>
              <w:t xml:space="preserve">Протягом періоду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зафіксовано </w:t>
            </w:r>
            <w:r w:rsidR="00721471" w:rsidRPr="0027082E">
              <w:t xml:space="preserve"> застосування заходу впливу за </w:t>
            </w:r>
            <w:r w:rsidRPr="0027082E">
              <w:t>один або більше фактів неповного подання</w:t>
            </w:r>
            <w:r w:rsidR="00FB7E4E">
              <w:rPr>
                <w:lang w:val="ru-RU"/>
              </w:rPr>
              <w:t> </w:t>
            </w:r>
            <w:r w:rsidRPr="0027082E">
              <w:t>/ неподання Національному банку інших документів, що передбачені д</w:t>
            </w:r>
            <w:r w:rsidR="00547531">
              <w:t>ля</w:t>
            </w:r>
            <w:r w:rsidRPr="0027082E">
              <w:t xml:space="preserve"> </w:t>
            </w:r>
            <w:r w:rsidR="00A01BEF">
              <w:t xml:space="preserve">періодичного </w:t>
            </w:r>
            <w:r w:rsidRPr="0027082E">
              <w:t xml:space="preserve">подання </w:t>
            </w:r>
            <w:r w:rsidR="00721471" w:rsidRPr="0027082E">
              <w:t>(</w:t>
            </w:r>
            <w:r w:rsidR="00A01BEF">
              <w:t>крім</w:t>
            </w:r>
            <w:r w:rsidRPr="0027082E">
              <w:t xml:space="preserve"> </w:t>
            </w:r>
            <w:r w:rsidR="00721471" w:rsidRPr="0027082E">
              <w:lastRenderedPageBreak/>
              <w:t xml:space="preserve">файлів </w:t>
            </w:r>
            <w:r w:rsidR="00A01BEF">
              <w:t>і</w:t>
            </w:r>
            <w:r w:rsidR="00721471" w:rsidRPr="0027082E">
              <w:t xml:space="preserve">з показниками звітності </w:t>
            </w:r>
            <w:r w:rsidRPr="0027082E">
              <w:t>та аудиторського звіту щодо проведення обов’язкового аудиту фінансової звітності та консолідованої фінансової звітності та/або звіту про надання впевненості щодо річних звітних даних</w:t>
            </w:r>
            <w:r w:rsidR="00BB5A84" w:rsidRPr="0027082E">
              <w:t>)</w:t>
            </w:r>
          </w:p>
        </w:tc>
        <w:tc>
          <w:tcPr>
            <w:tcW w:w="1508" w:type="dxa"/>
          </w:tcPr>
          <w:p w14:paraId="20D1822C" w14:textId="065092A4" w:rsidR="00ED4DB2" w:rsidRPr="0027082E" w:rsidRDefault="00D158C3" w:rsidP="002D2AD2">
            <w:pPr>
              <w:jc w:val="center"/>
            </w:pPr>
            <w:r w:rsidRPr="0027082E">
              <w:rPr>
                <w:lang w:val="ru-RU"/>
              </w:rPr>
              <w:lastRenderedPageBreak/>
              <w:t>40</w:t>
            </w:r>
          </w:p>
        </w:tc>
      </w:tr>
      <w:tr w:rsidR="00ED4DB2" w:rsidRPr="00D83ABD" w14:paraId="66C62AA5" w14:textId="77777777" w:rsidTr="002D2AD2">
        <w:tc>
          <w:tcPr>
            <w:tcW w:w="846" w:type="dxa"/>
          </w:tcPr>
          <w:p w14:paraId="597586B8" w14:textId="01065C99" w:rsidR="00ED4DB2" w:rsidRPr="0027082E" w:rsidRDefault="0055111B" w:rsidP="002D2AD2">
            <w:pPr>
              <w:jc w:val="center"/>
            </w:pPr>
            <w:r w:rsidRPr="0027082E">
              <w:t>4</w:t>
            </w:r>
          </w:p>
        </w:tc>
        <w:tc>
          <w:tcPr>
            <w:tcW w:w="788" w:type="dxa"/>
          </w:tcPr>
          <w:p w14:paraId="0CBE172B" w14:textId="77777777" w:rsidR="00ED4DB2" w:rsidRPr="0027082E" w:rsidRDefault="00ED4DB2" w:rsidP="002D2AD2">
            <w:r w:rsidRPr="0027082E">
              <w:t>2</w:t>
            </w:r>
          </w:p>
        </w:tc>
        <w:tc>
          <w:tcPr>
            <w:tcW w:w="11544" w:type="dxa"/>
            <w:gridSpan w:val="5"/>
            <w:shd w:val="clear" w:color="auto" w:fill="auto"/>
          </w:tcPr>
          <w:p w14:paraId="738B71B5" w14:textId="77777777" w:rsidR="00ED4DB2" w:rsidRPr="0027082E" w:rsidRDefault="00ED4DB2" w:rsidP="002D2AD2">
            <w:pPr>
              <w:rPr>
                <w:bCs/>
              </w:rPr>
            </w:pPr>
            <w:r w:rsidRPr="0027082E">
              <w:t xml:space="preserve">Показники діяльності </w:t>
            </w:r>
          </w:p>
        </w:tc>
        <w:tc>
          <w:tcPr>
            <w:tcW w:w="1508" w:type="dxa"/>
            <w:shd w:val="clear" w:color="auto" w:fill="auto"/>
          </w:tcPr>
          <w:p w14:paraId="47962996" w14:textId="77777777" w:rsidR="00ED4DB2" w:rsidRPr="0027082E" w:rsidRDefault="00ED4DB2" w:rsidP="002D2AD2">
            <w:pPr>
              <w:jc w:val="center"/>
              <w:rPr>
                <w:bCs/>
              </w:rPr>
            </w:pPr>
            <w:r w:rsidRPr="0027082E">
              <w:rPr>
                <w:bCs/>
              </w:rPr>
              <w:t>5</w:t>
            </w:r>
          </w:p>
        </w:tc>
      </w:tr>
      <w:tr w:rsidR="00ED4DB2" w:rsidRPr="00D83ABD" w14:paraId="432311CD" w14:textId="77777777" w:rsidTr="002D2AD2">
        <w:tc>
          <w:tcPr>
            <w:tcW w:w="846" w:type="dxa"/>
            <w:tcBorders>
              <w:bottom w:val="single" w:sz="4" w:space="0" w:color="auto"/>
            </w:tcBorders>
          </w:tcPr>
          <w:p w14:paraId="5B5EDCE6" w14:textId="48B67F68" w:rsidR="00ED4DB2" w:rsidRPr="0027082E" w:rsidRDefault="0055111B" w:rsidP="002D2AD2">
            <w:pPr>
              <w:jc w:val="center"/>
            </w:pPr>
            <w:r w:rsidRPr="0027082E">
              <w:t>5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614D3F0A" w14:textId="77777777" w:rsidR="00ED4DB2" w:rsidRPr="0027082E" w:rsidRDefault="00ED4DB2" w:rsidP="002D2AD2">
            <w:r w:rsidRPr="0027082E">
              <w:t>2.1</w:t>
            </w:r>
          </w:p>
        </w:tc>
        <w:tc>
          <w:tcPr>
            <w:tcW w:w="2189" w:type="dxa"/>
            <w:shd w:val="clear" w:color="auto" w:fill="auto"/>
          </w:tcPr>
          <w:p w14:paraId="6B785A84" w14:textId="77777777" w:rsidR="00ED4DB2" w:rsidRPr="0027082E" w:rsidRDefault="00ED4DB2" w:rsidP="002D2AD2">
            <w:pPr>
              <w:rPr>
                <w:bCs/>
              </w:rPr>
            </w:pPr>
            <w:r w:rsidRPr="0027082E">
              <w:rPr>
                <w:bCs/>
              </w:rPr>
              <w:t xml:space="preserve">Видані гарантії </w:t>
            </w:r>
            <w:r w:rsidRPr="0027082E">
              <w:t xml:space="preserve">(за строком) </w:t>
            </w:r>
            <w:r w:rsidRPr="0027082E">
              <w:rPr>
                <w:bCs/>
              </w:rPr>
              <w:t xml:space="preserve">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356BC6" w14:textId="77777777" w:rsidR="00ED4DB2" w:rsidRPr="0027082E" w:rsidRDefault="00ED4DB2" w:rsidP="002D2AD2">
            <w:pPr>
              <w:rPr>
                <w:bCs/>
                <w:color w:val="000000"/>
              </w:rPr>
            </w:pPr>
            <w:r w:rsidRPr="0027082E">
              <w:rPr>
                <w:bCs/>
              </w:rPr>
              <w:t xml:space="preserve">Установа </w:t>
            </w:r>
            <w:r w:rsidRPr="0027082E">
              <w:rPr>
                <w:bCs/>
                <w:color w:val="000000"/>
              </w:rPr>
              <w:t xml:space="preserve">не видавала протягом періоду </w:t>
            </w:r>
            <w:r w:rsidRPr="0027082E">
              <w:rPr>
                <w:bCs/>
                <w:color w:val="000000"/>
                <w:shd w:val="clear" w:color="auto" w:fill="FFFFFF"/>
              </w:rPr>
              <w:lastRenderedPageBreak/>
              <w:t>оцінювання</w:t>
            </w:r>
            <w:r w:rsidRPr="0027082E">
              <w:rPr>
                <w:bCs/>
                <w:color w:val="000000"/>
              </w:rPr>
              <w:t xml:space="preserve"> гарантій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743B1C" w14:textId="3CFDD366" w:rsidR="00ED4DB2" w:rsidRPr="0027082E" w:rsidRDefault="00ED4DB2" w:rsidP="00BF3D15">
            <w:pPr>
              <w:rPr>
                <w:bCs/>
              </w:rPr>
            </w:pPr>
            <w:r w:rsidRPr="0027082E">
              <w:rPr>
                <w:bCs/>
              </w:rPr>
              <w:lastRenderedPageBreak/>
              <w:t xml:space="preserve">Установа </w:t>
            </w:r>
            <w:r w:rsidR="00A01BEF">
              <w:rPr>
                <w:bCs/>
              </w:rPr>
              <w:t xml:space="preserve">видавала </w:t>
            </w:r>
            <w:r w:rsidRPr="0027082E">
              <w:rPr>
                <w:bCs/>
                <w:color w:val="000000"/>
              </w:rPr>
              <w:t xml:space="preserve">протягом періоду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rPr>
                <w:bCs/>
                <w:color w:val="000000"/>
              </w:rPr>
              <w:t xml:space="preserve"> </w:t>
            </w:r>
            <w:r w:rsidRPr="0027082E">
              <w:rPr>
                <w:bCs/>
              </w:rPr>
              <w:lastRenderedPageBreak/>
              <w:t xml:space="preserve">гарантії </w:t>
            </w:r>
            <w:r w:rsidR="00A01BEF">
              <w:rPr>
                <w:bCs/>
              </w:rPr>
              <w:t xml:space="preserve">строком </w:t>
            </w:r>
            <w:r w:rsidRPr="0027082E">
              <w:rPr>
                <w:bCs/>
              </w:rPr>
              <w:t xml:space="preserve"> до </w:t>
            </w:r>
            <w:r w:rsidR="00A01BEF">
              <w:rPr>
                <w:bCs/>
              </w:rPr>
              <w:t>двох</w:t>
            </w:r>
            <w:r w:rsidRPr="0027082E">
              <w:rPr>
                <w:bCs/>
              </w:rPr>
              <w:t xml:space="preserve"> років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0C7326" w14:textId="744743B4" w:rsidR="00ED4DB2" w:rsidRPr="0027082E" w:rsidRDefault="00ED4DB2" w:rsidP="00BF3D15">
            <w:pPr>
              <w:rPr>
                <w:bCs/>
              </w:rPr>
            </w:pPr>
            <w:r w:rsidRPr="0027082E">
              <w:rPr>
                <w:bCs/>
              </w:rPr>
              <w:lastRenderedPageBreak/>
              <w:t xml:space="preserve">Установа </w:t>
            </w:r>
            <w:r w:rsidR="00A01BEF">
              <w:rPr>
                <w:bCs/>
              </w:rPr>
              <w:t xml:space="preserve">видавала </w:t>
            </w:r>
            <w:r w:rsidRPr="0027082E">
              <w:rPr>
                <w:bCs/>
                <w:color w:val="000000"/>
              </w:rPr>
              <w:t xml:space="preserve">протягом періоду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rPr>
                <w:bCs/>
              </w:rPr>
              <w:t xml:space="preserve"> гарантії </w:t>
            </w:r>
            <w:r w:rsidR="00A01BEF">
              <w:rPr>
                <w:bCs/>
              </w:rPr>
              <w:t>строком</w:t>
            </w:r>
            <w:r w:rsidRPr="0027082E">
              <w:rPr>
                <w:bCs/>
              </w:rPr>
              <w:t xml:space="preserve"> </w:t>
            </w:r>
            <w:r w:rsidRPr="0027082E">
              <w:rPr>
                <w:bCs/>
              </w:rPr>
              <w:lastRenderedPageBreak/>
              <w:t xml:space="preserve">від </w:t>
            </w:r>
            <w:r w:rsidR="00A01BEF">
              <w:rPr>
                <w:bCs/>
              </w:rPr>
              <w:t xml:space="preserve">двох </w:t>
            </w:r>
            <w:r w:rsidRPr="0027082E">
              <w:rPr>
                <w:bCs/>
              </w:rPr>
              <w:t xml:space="preserve">до </w:t>
            </w:r>
            <w:r w:rsidR="00A01BEF">
              <w:rPr>
                <w:bCs/>
              </w:rPr>
              <w:t xml:space="preserve">пʼяти </w:t>
            </w:r>
            <w:r w:rsidRPr="0027082E">
              <w:rPr>
                <w:bCs/>
              </w:rPr>
              <w:t xml:space="preserve"> років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AA3858" w14:textId="63C5906F" w:rsidR="00ED4DB2" w:rsidRPr="0027082E" w:rsidRDefault="00ED4DB2" w:rsidP="00BF3D15">
            <w:pPr>
              <w:rPr>
                <w:bCs/>
              </w:rPr>
            </w:pPr>
            <w:r w:rsidRPr="0027082E">
              <w:rPr>
                <w:bCs/>
              </w:rPr>
              <w:lastRenderedPageBreak/>
              <w:t>Установа</w:t>
            </w:r>
            <w:r w:rsidR="00A01BEF">
              <w:rPr>
                <w:bCs/>
              </w:rPr>
              <w:t xml:space="preserve"> видавала</w:t>
            </w:r>
            <w:r w:rsidRPr="0027082E">
              <w:rPr>
                <w:bCs/>
              </w:rPr>
              <w:t xml:space="preserve"> </w:t>
            </w:r>
            <w:r w:rsidRPr="0027082E">
              <w:rPr>
                <w:bCs/>
                <w:color w:val="000000"/>
              </w:rPr>
              <w:t xml:space="preserve">протягом періоду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rPr>
                <w:bCs/>
                <w:color w:val="000000"/>
              </w:rPr>
              <w:t xml:space="preserve"> </w:t>
            </w:r>
            <w:r w:rsidRPr="0027082E">
              <w:rPr>
                <w:bCs/>
              </w:rPr>
              <w:t xml:space="preserve">  </w:t>
            </w:r>
            <w:r w:rsidRPr="0027082E">
              <w:rPr>
                <w:bCs/>
              </w:rPr>
              <w:lastRenderedPageBreak/>
              <w:t xml:space="preserve">гарантії </w:t>
            </w:r>
            <w:r w:rsidR="00A01BEF">
              <w:rPr>
                <w:bCs/>
              </w:rPr>
              <w:t xml:space="preserve">строком </w:t>
            </w:r>
            <w:r w:rsidRPr="0027082E">
              <w:rPr>
                <w:bCs/>
              </w:rPr>
              <w:t xml:space="preserve"> більше </w:t>
            </w:r>
            <w:r w:rsidR="009A02DC">
              <w:rPr>
                <w:bCs/>
              </w:rPr>
              <w:t>пʼяти</w:t>
            </w:r>
            <w:r w:rsidRPr="0027082E">
              <w:rPr>
                <w:bCs/>
              </w:rPr>
              <w:t xml:space="preserve"> років</w:t>
            </w:r>
          </w:p>
        </w:tc>
        <w:tc>
          <w:tcPr>
            <w:tcW w:w="1508" w:type="dxa"/>
            <w:shd w:val="clear" w:color="auto" w:fill="auto"/>
          </w:tcPr>
          <w:p w14:paraId="6A406301" w14:textId="40505887" w:rsidR="00ED4DB2" w:rsidRPr="0027082E" w:rsidRDefault="00721471" w:rsidP="002D2AD2">
            <w:pPr>
              <w:jc w:val="center"/>
              <w:rPr>
                <w:bCs/>
              </w:rPr>
            </w:pPr>
            <w:r w:rsidRPr="0027082E">
              <w:rPr>
                <w:bCs/>
              </w:rPr>
              <w:lastRenderedPageBreak/>
              <w:t>50</w:t>
            </w:r>
          </w:p>
        </w:tc>
      </w:tr>
      <w:tr w:rsidR="00721471" w:rsidRPr="00D83ABD" w14:paraId="6F52E46F" w14:textId="77777777" w:rsidTr="002D2AD2">
        <w:tc>
          <w:tcPr>
            <w:tcW w:w="846" w:type="dxa"/>
            <w:tcBorders>
              <w:bottom w:val="single" w:sz="4" w:space="0" w:color="auto"/>
            </w:tcBorders>
          </w:tcPr>
          <w:p w14:paraId="50FD8298" w14:textId="65A44246" w:rsidR="00721471" w:rsidRPr="0027082E" w:rsidRDefault="0055111B" w:rsidP="002D2AD2">
            <w:pPr>
              <w:jc w:val="center"/>
            </w:pPr>
            <w:r w:rsidRPr="0027082E">
              <w:t>6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14:paraId="2887E7F2" w14:textId="5A057948" w:rsidR="00721471" w:rsidRPr="0027082E" w:rsidRDefault="00721471" w:rsidP="002D2AD2">
            <w:r w:rsidRPr="0027082E">
              <w:t>2.2</w:t>
            </w:r>
          </w:p>
        </w:tc>
        <w:tc>
          <w:tcPr>
            <w:tcW w:w="2189" w:type="dxa"/>
            <w:shd w:val="clear" w:color="auto" w:fill="auto"/>
          </w:tcPr>
          <w:p w14:paraId="793C8B06" w14:textId="77777777" w:rsidR="00721471" w:rsidRPr="0027082E" w:rsidRDefault="00721471" w:rsidP="002D2AD2">
            <w:r w:rsidRPr="0027082E">
              <w:t>Наявність ліцензії на торгівлю валютними цінностями</w:t>
            </w:r>
          </w:p>
          <w:p w14:paraId="00DA09E2" w14:textId="77777777" w:rsidR="00721471" w:rsidRPr="0027082E" w:rsidRDefault="00721471" w:rsidP="002D2AD2">
            <w:pPr>
              <w:rPr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47B9C3D8" w14:textId="15E78433" w:rsidR="00721471" w:rsidRPr="0027082E" w:rsidRDefault="00721471" w:rsidP="002D2AD2">
            <w:pPr>
              <w:rPr>
                <w:bCs/>
              </w:rPr>
            </w:pPr>
            <w:r w:rsidRPr="0027082E">
              <w:rPr>
                <w:shd w:val="clear" w:color="auto" w:fill="FFFFFF"/>
              </w:rPr>
              <w:t>Не застосовується</w:t>
            </w:r>
          </w:p>
        </w:tc>
        <w:tc>
          <w:tcPr>
            <w:tcW w:w="2409" w:type="dxa"/>
            <w:shd w:val="clear" w:color="auto" w:fill="auto"/>
          </w:tcPr>
          <w:p w14:paraId="3C9B1DC5" w14:textId="6DC74BC7" w:rsidR="00721471" w:rsidRPr="0027082E" w:rsidRDefault="00721471" w:rsidP="002D2AD2">
            <w:pPr>
              <w:rPr>
                <w:bCs/>
              </w:rPr>
            </w:pPr>
            <w:r w:rsidRPr="0027082E">
              <w:rPr>
                <w:shd w:val="clear" w:color="auto" w:fill="FFFFFF"/>
              </w:rPr>
              <w:t>Не застосовується</w:t>
            </w:r>
          </w:p>
        </w:tc>
        <w:tc>
          <w:tcPr>
            <w:tcW w:w="2410" w:type="dxa"/>
            <w:shd w:val="clear" w:color="auto" w:fill="auto"/>
          </w:tcPr>
          <w:p w14:paraId="25D1EDE1" w14:textId="11B2F46D" w:rsidR="00721471" w:rsidRPr="0027082E" w:rsidRDefault="00721471" w:rsidP="002D2AD2">
            <w:pPr>
              <w:rPr>
                <w:bCs/>
              </w:rPr>
            </w:pPr>
            <w:r w:rsidRPr="0027082E">
              <w:rPr>
                <w:shd w:val="clear" w:color="auto" w:fill="FFFFFF"/>
              </w:rPr>
              <w:t>Не застосовується</w:t>
            </w:r>
          </w:p>
        </w:tc>
        <w:tc>
          <w:tcPr>
            <w:tcW w:w="2268" w:type="dxa"/>
            <w:shd w:val="clear" w:color="auto" w:fill="auto"/>
          </w:tcPr>
          <w:p w14:paraId="019F8604" w14:textId="1957B911" w:rsidR="00721471" w:rsidRPr="0027082E" w:rsidRDefault="00721471" w:rsidP="002D2AD2">
            <w:pPr>
              <w:rPr>
                <w:bCs/>
              </w:rPr>
            </w:pPr>
            <w:r w:rsidRPr="0027082E">
              <w:t>Наявність ліцензії на торгівлю валютними цінностями</w:t>
            </w:r>
          </w:p>
        </w:tc>
        <w:tc>
          <w:tcPr>
            <w:tcW w:w="1508" w:type="dxa"/>
            <w:shd w:val="clear" w:color="auto" w:fill="auto"/>
          </w:tcPr>
          <w:p w14:paraId="5FE5008C" w14:textId="55636EE2" w:rsidR="00721471" w:rsidRPr="0027082E" w:rsidDel="00721471" w:rsidRDefault="00721471" w:rsidP="002D2AD2">
            <w:pPr>
              <w:jc w:val="center"/>
              <w:rPr>
                <w:bCs/>
              </w:rPr>
            </w:pPr>
            <w:r w:rsidRPr="0027082E">
              <w:rPr>
                <w:bCs/>
              </w:rPr>
              <w:t>50</w:t>
            </w:r>
          </w:p>
        </w:tc>
      </w:tr>
      <w:tr w:rsidR="00721471" w:rsidRPr="00D83ABD" w14:paraId="516BC7EE" w14:textId="77777777" w:rsidTr="002D2AD2">
        <w:tc>
          <w:tcPr>
            <w:tcW w:w="846" w:type="dxa"/>
          </w:tcPr>
          <w:p w14:paraId="336EC9A7" w14:textId="595EE70E" w:rsidR="00721471" w:rsidRPr="00D83ABD" w:rsidRDefault="008F3E37" w:rsidP="002D2AD2">
            <w:pPr>
              <w:jc w:val="center"/>
            </w:pPr>
            <w:r>
              <w:t>7</w:t>
            </w:r>
          </w:p>
        </w:tc>
        <w:tc>
          <w:tcPr>
            <w:tcW w:w="788" w:type="dxa"/>
            <w:shd w:val="clear" w:color="auto" w:fill="auto"/>
          </w:tcPr>
          <w:p w14:paraId="3C3ADFE3" w14:textId="77777777" w:rsidR="00721471" w:rsidRPr="00D83ABD" w:rsidRDefault="00721471" w:rsidP="002D2AD2">
            <w:r w:rsidRPr="00D83ABD">
              <w:t>3</w:t>
            </w:r>
          </w:p>
        </w:tc>
        <w:tc>
          <w:tcPr>
            <w:tcW w:w="11544" w:type="dxa"/>
            <w:gridSpan w:val="5"/>
            <w:shd w:val="clear" w:color="auto" w:fill="auto"/>
          </w:tcPr>
          <w:p w14:paraId="39ABE799" w14:textId="77777777" w:rsidR="00721471" w:rsidRPr="00D83ABD" w:rsidRDefault="00721471" w:rsidP="002D2AD2">
            <w:pPr>
              <w:rPr>
                <w:bCs/>
              </w:rPr>
            </w:pPr>
            <w:r w:rsidRPr="00D83ABD">
              <w:t>Виконання обов’язкових критеріїв і нормативів достатності капіталу та платоспроможності, ліквідності, прибутковості, якості активів та ризиковості операцій, інших показників і вимог</w:t>
            </w:r>
          </w:p>
        </w:tc>
        <w:tc>
          <w:tcPr>
            <w:tcW w:w="1508" w:type="dxa"/>
            <w:shd w:val="clear" w:color="auto" w:fill="auto"/>
          </w:tcPr>
          <w:p w14:paraId="12E0B426" w14:textId="77777777" w:rsidR="00721471" w:rsidRPr="00D83ABD" w:rsidRDefault="00721471" w:rsidP="002D2AD2">
            <w:pPr>
              <w:jc w:val="center"/>
              <w:rPr>
                <w:bCs/>
              </w:rPr>
            </w:pPr>
            <w:r w:rsidRPr="00D83ABD">
              <w:rPr>
                <w:bCs/>
              </w:rPr>
              <w:t>20</w:t>
            </w:r>
          </w:p>
        </w:tc>
      </w:tr>
      <w:tr w:rsidR="00721471" w:rsidRPr="00D83ABD" w14:paraId="0DEBBC05" w14:textId="77777777" w:rsidTr="002D2AD2">
        <w:tc>
          <w:tcPr>
            <w:tcW w:w="846" w:type="dxa"/>
          </w:tcPr>
          <w:p w14:paraId="2EE1E328" w14:textId="20FE1E56" w:rsidR="00721471" w:rsidRPr="00D83ABD" w:rsidRDefault="008F3E37" w:rsidP="002D2AD2">
            <w:pPr>
              <w:jc w:val="center"/>
            </w:pPr>
            <w:r>
              <w:t>8</w:t>
            </w:r>
          </w:p>
        </w:tc>
        <w:tc>
          <w:tcPr>
            <w:tcW w:w="788" w:type="dxa"/>
          </w:tcPr>
          <w:p w14:paraId="2AD44C60" w14:textId="77777777" w:rsidR="00721471" w:rsidRPr="00D83ABD" w:rsidRDefault="00721471" w:rsidP="002D2AD2">
            <w:r w:rsidRPr="00D83ABD">
              <w:t>3.1</w:t>
            </w:r>
          </w:p>
        </w:tc>
        <w:tc>
          <w:tcPr>
            <w:tcW w:w="2189" w:type="dxa"/>
            <w:shd w:val="clear" w:color="auto" w:fill="auto"/>
          </w:tcPr>
          <w:p w14:paraId="2D82C65C" w14:textId="77777777" w:rsidR="00721471" w:rsidRPr="00D83ABD" w:rsidRDefault="00721471" w:rsidP="002D2AD2">
            <w:r w:rsidRPr="00D83ABD">
              <w:t>Дотримання нормативу розміру власного капіталу та/або інших нормативів</w:t>
            </w:r>
          </w:p>
        </w:tc>
        <w:tc>
          <w:tcPr>
            <w:tcW w:w="2268" w:type="dxa"/>
            <w:shd w:val="clear" w:color="auto" w:fill="auto"/>
          </w:tcPr>
          <w:p w14:paraId="0D0075D7" w14:textId="432FE227" w:rsidR="00721471" w:rsidRPr="00D83ABD" w:rsidRDefault="00721471" w:rsidP="002D2AD2">
            <w:r w:rsidRPr="00D83ABD">
              <w:t>Не встановлено норматив</w:t>
            </w:r>
            <w:r w:rsidR="00197BFA">
              <w:t>у</w:t>
            </w:r>
            <w:r w:rsidRPr="00D83ABD">
              <w:t xml:space="preserve"> розміру власного капіталу</w:t>
            </w:r>
            <w:r w:rsidR="00FB7E4E">
              <w:rPr>
                <w:lang w:val="ru-RU"/>
              </w:rPr>
              <w:t> </w:t>
            </w:r>
            <w:r w:rsidRPr="00D83ABD">
              <w:t>/</w:t>
            </w:r>
            <w:r w:rsidR="00FB7E4E">
              <w:rPr>
                <w:lang w:val="ru-RU"/>
              </w:rPr>
              <w:t> </w:t>
            </w:r>
            <w:r w:rsidRPr="00D83ABD">
              <w:t xml:space="preserve">на дату </w:t>
            </w:r>
            <w:r>
              <w:rPr>
                <w:bCs/>
                <w:color w:val="000000"/>
                <w:shd w:val="clear" w:color="auto" w:fill="FFFFFF"/>
              </w:rPr>
              <w:t>оцінювання</w:t>
            </w:r>
            <w:r w:rsidRPr="00D83ABD">
              <w:t xml:space="preserve"> розмір власного капіталу в </w:t>
            </w:r>
            <w:r w:rsidR="009A02DC">
              <w:t>три</w:t>
            </w:r>
            <w:r w:rsidRPr="00D83ABD">
              <w:t xml:space="preserve"> рази і більше перевищує норматив</w:t>
            </w:r>
          </w:p>
        </w:tc>
        <w:tc>
          <w:tcPr>
            <w:tcW w:w="2409" w:type="dxa"/>
            <w:shd w:val="clear" w:color="auto" w:fill="auto"/>
          </w:tcPr>
          <w:p w14:paraId="65B57858" w14:textId="4AB170EF" w:rsidR="00721471" w:rsidRPr="00D83ABD" w:rsidRDefault="00721471" w:rsidP="002D2AD2">
            <w:r w:rsidRPr="00D83ABD">
              <w:t xml:space="preserve">На дату </w:t>
            </w:r>
            <w:r>
              <w:rPr>
                <w:bCs/>
                <w:color w:val="000000"/>
                <w:shd w:val="clear" w:color="auto" w:fill="FFFFFF"/>
              </w:rPr>
              <w:t>оцінювання</w:t>
            </w:r>
            <w:r w:rsidRPr="00D83ABD">
              <w:t xml:space="preserve"> розмір власного капіталу в </w:t>
            </w:r>
            <w:r w:rsidR="009A02DC">
              <w:t>два</w:t>
            </w:r>
            <w:r w:rsidRPr="00D83ABD">
              <w:t xml:space="preserve"> рази і більше перевищує норматив</w:t>
            </w:r>
          </w:p>
        </w:tc>
        <w:tc>
          <w:tcPr>
            <w:tcW w:w="2410" w:type="dxa"/>
            <w:shd w:val="clear" w:color="auto" w:fill="auto"/>
          </w:tcPr>
          <w:p w14:paraId="7DD6AD7E" w14:textId="2C7B45CA" w:rsidR="00721471" w:rsidRPr="00D83ABD" w:rsidRDefault="00721471" w:rsidP="002D2AD2">
            <w:r w:rsidRPr="00D83ABD">
              <w:t xml:space="preserve">На дату </w:t>
            </w:r>
            <w:r>
              <w:rPr>
                <w:bCs/>
                <w:color w:val="000000"/>
                <w:shd w:val="clear" w:color="auto" w:fill="FFFFFF"/>
              </w:rPr>
              <w:t>оцінювання</w:t>
            </w:r>
            <w:r w:rsidRPr="00D83ABD">
              <w:t xml:space="preserve"> нормативний  розмір власного капіталу виконується, але не перевищує в </w:t>
            </w:r>
            <w:r w:rsidR="009A02DC">
              <w:t>два</w:t>
            </w:r>
            <w:r w:rsidRPr="00D83ABD">
              <w:t xml:space="preserve"> рази норматив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CABFB3" w14:textId="0EFB42D8" w:rsidR="00721471" w:rsidRPr="00D83ABD" w:rsidRDefault="00721471" w:rsidP="006A0BED">
            <w:pPr>
              <w:rPr>
                <w:shd w:val="clear" w:color="auto" w:fill="FFFFFF"/>
                <w:lang w:eastAsia="ru-RU"/>
              </w:rPr>
            </w:pPr>
            <w:r w:rsidRPr="00D83ABD">
              <w:rPr>
                <w:shd w:val="clear" w:color="auto" w:fill="FFFFFF"/>
                <w:lang w:eastAsia="ru-RU"/>
              </w:rPr>
              <w:t xml:space="preserve">На дату </w:t>
            </w:r>
            <w:r>
              <w:rPr>
                <w:bCs/>
                <w:color w:val="000000"/>
                <w:shd w:val="clear" w:color="auto" w:fill="FFFFFF"/>
              </w:rPr>
              <w:t>оцінювання</w:t>
            </w:r>
            <w:r w:rsidRPr="00D83ABD">
              <w:rPr>
                <w:shd w:val="clear" w:color="auto" w:fill="FFFFFF"/>
                <w:lang w:eastAsia="ru-RU"/>
              </w:rPr>
              <w:t xml:space="preserve"> </w:t>
            </w:r>
            <w:r w:rsidRPr="00D83ABD">
              <w:t>норматив розміру власного капіталу не дотримується</w:t>
            </w:r>
            <w:r w:rsidRPr="00D83ABD">
              <w:rPr>
                <w:shd w:val="clear" w:color="auto" w:fill="FFFFFF"/>
                <w:lang w:eastAsia="ru-RU"/>
              </w:rPr>
              <w:t xml:space="preserve"> та/або не виконуються інші нормативи, встановлені Положенням про обов’язкові фінансові </w:t>
            </w:r>
            <w:r w:rsidRPr="00D83ABD">
              <w:rPr>
                <w:shd w:val="clear" w:color="auto" w:fill="FFFFFF"/>
                <w:lang w:eastAsia="ru-RU"/>
              </w:rPr>
              <w:lastRenderedPageBreak/>
              <w:t xml:space="preserve">нормативи та вимоги, що обмежують ризики за операціями з фінансовими активами фінансових установ, що отримали ліцензію на здійснення господарської діяльності з надання гарантій та поручительств, затвердженим розпорядженням Національної комісії, що здійснює державне регулювання у </w:t>
            </w:r>
            <w:r w:rsidRPr="00D83ABD">
              <w:rPr>
                <w:shd w:val="clear" w:color="auto" w:fill="FFFFFF"/>
                <w:lang w:eastAsia="ru-RU"/>
              </w:rPr>
              <w:lastRenderedPageBreak/>
              <w:t>сфері ринків фінансових послуг</w:t>
            </w:r>
            <w:r w:rsidR="009A02DC">
              <w:rPr>
                <w:shd w:val="clear" w:color="auto" w:fill="FFFFFF"/>
                <w:lang w:eastAsia="ru-RU"/>
              </w:rPr>
              <w:t>,</w:t>
            </w:r>
            <w:r w:rsidRPr="00D83ABD">
              <w:rPr>
                <w:shd w:val="clear" w:color="auto" w:fill="FFFFFF"/>
                <w:lang w:eastAsia="ru-RU"/>
              </w:rPr>
              <w:t xml:space="preserve"> від 30</w:t>
            </w:r>
            <w:r w:rsidR="006E1A75">
              <w:rPr>
                <w:shd w:val="clear" w:color="auto" w:fill="FFFFFF"/>
                <w:lang w:eastAsia="ru-RU"/>
              </w:rPr>
              <w:t> </w:t>
            </w:r>
            <w:r w:rsidRPr="00D83ABD">
              <w:rPr>
                <w:shd w:val="clear" w:color="auto" w:fill="FFFFFF"/>
                <w:lang w:eastAsia="ru-RU"/>
              </w:rPr>
              <w:t>травня 2019 року №</w:t>
            </w:r>
            <w:r>
              <w:rPr>
                <w:shd w:val="clear" w:color="auto" w:fill="FFFFFF"/>
                <w:lang w:eastAsia="ru-RU"/>
              </w:rPr>
              <w:t> </w:t>
            </w:r>
            <w:r w:rsidRPr="00D83ABD">
              <w:rPr>
                <w:shd w:val="clear" w:color="auto" w:fill="FFFFFF"/>
                <w:lang w:eastAsia="ru-RU"/>
              </w:rPr>
              <w:t xml:space="preserve">980, зареєстрованим </w:t>
            </w:r>
            <w:r>
              <w:rPr>
                <w:shd w:val="clear" w:color="auto" w:fill="FFFFFF"/>
                <w:lang w:eastAsia="ru-RU"/>
              </w:rPr>
              <w:t>у</w:t>
            </w:r>
            <w:r w:rsidRPr="00D83ABD">
              <w:rPr>
                <w:shd w:val="clear" w:color="auto" w:fill="FFFFFF"/>
                <w:lang w:eastAsia="ru-RU"/>
              </w:rPr>
              <w:t xml:space="preserve"> </w:t>
            </w:r>
            <w:r w:rsidRPr="00D83ABD">
              <w:rPr>
                <w:color w:val="000000"/>
                <w:shd w:val="clear" w:color="auto" w:fill="FFFFFF"/>
                <w:lang w:eastAsia="ru-RU"/>
              </w:rPr>
              <w:t xml:space="preserve">Міністерстві юстиції України </w:t>
            </w:r>
            <w:r w:rsidRPr="00D83ABD">
              <w:rPr>
                <w:rStyle w:val="rvts9"/>
                <w:rFonts w:eastAsia="Calibri"/>
                <w:bCs/>
                <w:color w:val="000000"/>
                <w:shd w:val="clear" w:color="auto" w:fill="FFFFFF"/>
              </w:rPr>
              <w:t>15 жовтня 2019 року за №</w:t>
            </w:r>
            <w:r>
              <w:rPr>
                <w:rStyle w:val="rvts9"/>
                <w:rFonts w:eastAsia="Calibri"/>
                <w:bCs/>
                <w:color w:val="000000"/>
                <w:shd w:val="clear" w:color="auto" w:fill="FFFFFF"/>
              </w:rPr>
              <w:t> </w:t>
            </w:r>
            <w:r w:rsidRPr="00D83ABD">
              <w:rPr>
                <w:rStyle w:val="rvts9"/>
                <w:rFonts w:eastAsia="Calibri"/>
                <w:bCs/>
                <w:color w:val="000000"/>
                <w:shd w:val="clear" w:color="auto" w:fill="FFFFFF"/>
              </w:rPr>
              <w:t>1113/34084</w:t>
            </w:r>
          </w:p>
        </w:tc>
        <w:tc>
          <w:tcPr>
            <w:tcW w:w="1508" w:type="dxa"/>
            <w:shd w:val="clear" w:color="auto" w:fill="auto"/>
          </w:tcPr>
          <w:p w14:paraId="1028F27F" w14:textId="77777777" w:rsidR="00721471" w:rsidRPr="00D83ABD" w:rsidRDefault="00721471" w:rsidP="002D2AD2">
            <w:pPr>
              <w:jc w:val="center"/>
              <w:rPr>
                <w:bCs/>
              </w:rPr>
            </w:pPr>
            <w:r w:rsidRPr="00D83ABD">
              <w:rPr>
                <w:bCs/>
              </w:rPr>
              <w:lastRenderedPageBreak/>
              <w:t>100</w:t>
            </w:r>
          </w:p>
        </w:tc>
      </w:tr>
    </w:tbl>
    <w:p w14:paraId="2798C30A" w14:textId="3ADC493E" w:rsidR="00ED4DB2" w:rsidRPr="00D83ABD" w:rsidRDefault="00ED4DB2" w:rsidP="00ED4DB2"/>
    <w:p w14:paraId="2A7F2B74" w14:textId="77E1B999" w:rsidR="00ED4DB2" w:rsidRPr="005B76F5" w:rsidRDefault="00ED4DB2" w:rsidP="00E43AA3">
      <w:pPr>
        <w:jc w:val="center"/>
        <w:rPr>
          <w:bCs/>
          <w:color w:val="000000"/>
          <w:highlight w:val="yellow"/>
          <w:shd w:val="clear" w:color="auto" w:fill="FFFFFF"/>
        </w:rPr>
      </w:pPr>
      <w:r w:rsidRPr="00D83ABD">
        <w:t xml:space="preserve">Пояснення до </w:t>
      </w:r>
      <w:r w:rsidRPr="00D83ABD">
        <w:rPr>
          <w:bCs/>
          <w:color w:val="000000"/>
          <w:shd w:val="clear" w:color="auto" w:fill="FFFFFF"/>
        </w:rPr>
        <w:t xml:space="preserve">критеріїв </w:t>
      </w:r>
      <w:r>
        <w:rPr>
          <w:bCs/>
          <w:color w:val="000000"/>
          <w:shd w:val="clear" w:color="auto" w:fill="FFFFFF"/>
        </w:rPr>
        <w:t>оцінювання</w:t>
      </w:r>
      <w:r w:rsidRPr="00D83ABD">
        <w:rPr>
          <w:bCs/>
          <w:color w:val="000000"/>
          <w:shd w:val="clear" w:color="auto" w:fill="FFFFFF"/>
        </w:rPr>
        <w:t xml:space="preserve"> ступен</w:t>
      </w:r>
      <w:r>
        <w:rPr>
          <w:bCs/>
          <w:color w:val="000000"/>
          <w:shd w:val="clear" w:color="auto" w:fill="FFFFFF"/>
        </w:rPr>
        <w:t>я</w:t>
      </w:r>
      <w:r w:rsidRPr="00D83ABD">
        <w:rPr>
          <w:bCs/>
          <w:color w:val="000000"/>
          <w:shd w:val="clear" w:color="auto" w:fill="FFFFFF"/>
        </w:rPr>
        <w:t xml:space="preserve"> ризику фінансової компанії, лізингодавця</w:t>
      </w:r>
      <w:r w:rsidRPr="00887ABE">
        <w:rPr>
          <w:bCs/>
          <w:color w:val="000000"/>
          <w:shd w:val="clear" w:color="auto" w:fill="FFFFFF"/>
        </w:rPr>
        <w:t>, ломбарду</w:t>
      </w:r>
      <w:r w:rsidR="00E43AA3" w:rsidRPr="00887ABE">
        <w:rPr>
          <w:bCs/>
          <w:color w:val="000000"/>
          <w:shd w:val="clear" w:color="auto" w:fill="FFFFFF"/>
        </w:rPr>
        <w:t xml:space="preserve"> </w:t>
      </w:r>
      <w:r w:rsidR="005B76F5" w:rsidRPr="00887ABE">
        <w:rPr>
          <w:bCs/>
          <w:color w:val="000000"/>
          <w:shd w:val="clear" w:color="auto" w:fill="FFFFFF"/>
        </w:rPr>
        <w:t>(який є учасником / відповідальною особою фінансової групи)</w:t>
      </w:r>
    </w:p>
    <w:p w14:paraId="6BB2CC4B" w14:textId="77777777" w:rsidR="001D20DD" w:rsidRPr="00D83ABD" w:rsidRDefault="001D20DD" w:rsidP="00ED4DB2">
      <w:pPr>
        <w:jc w:val="center"/>
      </w:pPr>
    </w:p>
    <w:p w14:paraId="45543A34" w14:textId="18CEBD2D" w:rsidR="00ED4DB2" w:rsidRPr="0078704F" w:rsidRDefault="00ED4DB2" w:rsidP="0078704F">
      <w:pPr>
        <w:pStyle w:val="af3"/>
        <w:numPr>
          <w:ilvl w:val="0"/>
          <w:numId w:val="15"/>
        </w:numPr>
        <w:tabs>
          <w:tab w:val="left" w:pos="851"/>
        </w:tabs>
        <w:spacing w:after="160"/>
        <w:ind w:left="0" w:firstLine="567"/>
        <w:rPr>
          <w:color w:val="000000"/>
        </w:rPr>
      </w:pPr>
      <w:r w:rsidRPr="00D83ABD">
        <w:rPr>
          <w:color w:val="000000"/>
        </w:rPr>
        <w:t>Для цілей цього додатк</w:t>
      </w:r>
      <w:r>
        <w:rPr>
          <w:color w:val="000000"/>
        </w:rPr>
        <w:t>а</w:t>
      </w:r>
      <w:r w:rsidRPr="00D83ABD">
        <w:rPr>
          <w:color w:val="000000"/>
        </w:rPr>
        <w:t xml:space="preserve"> термін </w:t>
      </w:r>
      <w:r>
        <w:rPr>
          <w:color w:val="000000"/>
        </w:rPr>
        <w:t>“</w:t>
      </w:r>
      <w:r w:rsidRPr="00D83ABD">
        <w:rPr>
          <w:color w:val="000000"/>
        </w:rPr>
        <w:t>учасник</w:t>
      </w:r>
      <w:r>
        <w:rPr>
          <w:color w:val="000000"/>
        </w:rPr>
        <w:t>”</w:t>
      </w:r>
      <w:r w:rsidRPr="00D83ABD">
        <w:rPr>
          <w:color w:val="000000"/>
        </w:rPr>
        <w:t xml:space="preserve"> </w:t>
      </w:r>
      <w:r w:rsidR="009A02DC">
        <w:rPr>
          <w:color w:val="000000"/>
        </w:rPr>
        <w:t xml:space="preserve">‒ </w:t>
      </w:r>
      <w:r w:rsidRPr="00D83ABD">
        <w:rPr>
          <w:color w:val="000000"/>
        </w:rPr>
        <w:t>фінансова компанія</w:t>
      </w:r>
      <w:r w:rsidRPr="0078704F">
        <w:rPr>
          <w:color w:val="000000"/>
        </w:rPr>
        <w:t>, лізингодавець, ломбард</w:t>
      </w:r>
      <w:r w:rsidR="00E43AA3" w:rsidRPr="0078704F">
        <w:rPr>
          <w:color w:val="000000"/>
        </w:rPr>
        <w:t xml:space="preserve"> </w:t>
      </w:r>
      <w:r w:rsidR="005B76F5" w:rsidRPr="0078704F">
        <w:rPr>
          <w:color w:val="000000"/>
        </w:rPr>
        <w:t>(який є учасником</w:t>
      </w:r>
      <w:r w:rsidR="00FB7E4E">
        <w:rPr>
          <w:color w:val="000000"/>
          <w:lang w:val="ru-RU"/>
        </w:rPr>
        <w:t> </w:t>
      </w:r>
      <w:r w:rsidR="005B76F5" w:rsidRPr="0078704F">
        <w:rPr>
          <w:color w:val="000000"/>
        </w:rPr>
        <w:t>/</w:t>
      </w:r>
      <w:r w:rsidR="00FB7E4E">
        <w:rPr>
          <w:color w:val="000000"/>
          <w:lang w:val="ru-RU"/>
        </w:rPr>
        <w:t> </w:t>
      </w:r>
      <w:r w:rsidR="005B76F5" w:rsidRPr="0078704F">
        <w:rPr>
          <w:color w:val="000000"/>
        </w:rPr>
        <w:t>відповідальною особою фінансової групи)</w:t>
      </w:r>
      <w:r w:rsidRPr="0078704F">
        <w:rPr>
          <w:color w:val="000000"/>
        </w:rPr>
        <w:t>.</w:t>
      </w:r>
    </w:p>
    <w:p w14:paraId="4253B3F6" w14:textId="46DFEED0" w:rsidR="001D20DD" w:rsidRDefault="001D20DD" w:rsidP="001D20DD">
      <w:pPr>
        <w:ind w:left="567"/>
        <w:jc w:val="right"/>
        <w:rPr>
          <w:rFonts w:eastAsia="SimSun"/>
          <w:i/>
          <w:sz w:val="24"/>
        </w:rPr>
      </w:pPr>
    </w:p>
    <w:p w14:paraId="202BAC73" w14:textId="77777777" w:rsidR="001D20DD" w:rsidRDefault="001D20DD" w:rsidP="001D20DD">
      <w:pPr>
        <w:ind w:left="567"/>
        <w:jc w:val="right"/>
        <w:rPr>
          <w:rFonts w:eastAsia="SimSun"/>
          <w:i/>
          <w:sz w:val="24"/>
        </w:rPr>
        <w:sectPr w:rsidR="001D20DD" w:rsidSect="003B0FDF">
          <w:headerReference w:type="default" r:id="rId18"/>
          <w:pgSz w:w="16838" w:h="11906" w:orient="landscape" w:code="9"/>
          <w:pgMar w:top="567" w:right="567" w:bottom="1701" w:left="1701" w:header="567" w:footer="709" w:gutter="0"/>
          <w:pgNumType w:start="1"/>
          <w:cols w:space="708"/>
          <w:titlePg/>
          <w:docGrid w:linePitch="381"/>
        </w:sectPr>
      </w:pPr>
    </w:p>
    <w:tbl>
      <w:tblPr>
        <w:tblW w:w="101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2"/>
        <w:gridCol w:w="3969"/>
        <w:gridCol w:w="1276"/>
        <w:gridCol w:w="4252"/>
        <w:gridCol w:w="51"/>
      </w:tblGrid>
      <w:tr w:rsidR="00ED4DB2" w:rsidRPr="00D83ABD" w14:paraId="7BE4073E" w14:textId="77777777" w:rsidTr="00F45C97">
        <w:trPr>
          <w:trHeight w:val="1245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867FF" w14:textId="77777777" w:rsidR="008B217B" w:rsidRDefault="008B217B" w:rsidP="00BD2197">
            <w:pPr>
              <w:pStyle w:val="af3"/>
              <w:ind w:left="5600"/>
            </w:pPr>
          </w:p>
          <w:p w14:paraId="46838793" w14:textId="2D107154" w:rsidR="00ED4DB2" w:rsidRPr="00D83ABD" w:rsidRDefault="00ED4DB2" w:rsidP="00BD2197">
            <w:pPr>
              <w:pStyle w:val="af3"/>
              <w:ind w:left="5600"/>
            </w:pPr>
            <w:r w:rsidRPr="00D83ABD">
              <w:t>Додаток 4</w:t>
            </w:r>
          </w:p>
          <w:p w14:paraId="3EF4FD66" w14:textId="06DA6746" w:rsidR="00ED4DB2" w:rsidRPr="00D83ABD" w:rsidRDefault="00ED4DB2" w:rsidP="00BD2197">
            <w:pPr>
              <w:keepNext/>
              <w:ind w:left="5600"/>
              <w:outlineLvl w:val="2"/>
              <w:rPr>
                <w:b/>
                <w:bCs/>
                <w:color w:val="000000"/>
              </w:rPr>
            </w:pPr>
            <w:r w:rsidRPr="00D83ABD">
              <w:t xml:space="preserve">до </w:t>
            </w:r>
            <w:r w:rsidRPr="00D83ABD">
              <w:rPr>
                <w:bCs/>
                <w:color w:val="000000"/>
              </w:rPr>
              <w:t xml:space="preserve">Положення про </w:t>
            </w:r>
            <w:r w:rsidRPr="00636AE0">
              <w:rPr>
                <w:bCs/>
              </w:rPr>
              <w:t>встановлення критеріїв, за якими оцінюється ступінь ризику від здійснення діяльності учасниками ринку небанківських фінансових послуг, їх суспільн</w:t>
            </w:r>
            <w:r w:rsidR="005D4741">
              <w:rPr>
                <w:bCs/>
              </w:rPr>
              <w:t>а</w:t>
            </w:r>
            <w:r w:rsidRPr="00636AE0">
              <w:rPr>
                <w:bCs/>
              </w:rPr>
              <w:t xml:space="preserve"> важливість</w:t>
            </w:r>
          </w:p>
          <w:p w14:paraId="57AA1A94" w14:textId="6382CA4A" w:rsidR="00ED4DB2" w:rsidRDefault="00ED4DB2" w:rsidP="00BD2197">
            <w:pPr>
              <w:pStyle w:val="af3"/>
              <w:ind w:left="5600"/>
            </w:pPr>
            <w:r w:rsidRPr="00D83ABD">
              <w:t xml:space="preserve">(пункт </w:t>
            </w:r>
            <w:r w:rsidR="0063305B">
              <w:t>21</w:t>
            </w:r>
            <w:r w:rsidR="0063305B" w:rsidRPr="00D83ABD">
              <w:t xml:space="preserve"> </w:t>
            </w:r>
            <w:r w:rsidRPr="00D83ABD">
              <w:t>розділу II)</w:t>
            </w:r>
          </w:p>
          <w:p w14:paraId="2B975B44" w14:textId="77777777" w:rsidR="005D4741" w:rsidRPr="00744BAF" w:rsidRDefault="005D4741" w:rsidP="00294795">
            <w:pPr>
              <w:pStyle w:val="af3"/>
              <w:ind w:left="5988"/>
              <w:rPr>
                <w:bCs/>
                <w:color w:val="000000"/>
                <w:shd w:val="clear" w:color="auto" w:fill="FFFFFF"/>
              </w:rPr>
            </w:pPr>
          </w:p>
          <w:p w14:paraId="3DF2B6C2" w14:textId="77777777" w:rsidR="00ED4DB2" w:rsidRDefault="00ED4DB2" w:rsidP="00F45C97">
            <w:pPr>
              <w:jc w:val="center"/>
            </w:pPr>
            <w:r w:rsidRPr="00D83ABD">
              <w:t>Критерії для визначення суспільної важливості страховика</w:t>
            </w:r>
          </w:p>
          <w:p w14:paraId="33CA8884" w14:textId="774C1C9D" w:rsidR="005D4741" w:rsidRPr="00D83ABD" w:rsidRDefault="005D4741" w:rsidP="00F45C97">
            <w:pPr>
              <w:jc w:val="center"/>
              <w:rPr>
                <w:color w:val="000000"/>
              </w:rPr>
            </w:pPr>
          </w:p>
        </w:tc>
      </w:tr>
      <w:tr w:rsidR="00ED4DB2" w:rsidRPr="00D83ABD" w14:paraId="120EB806" w14:textId="77777777" w:rsidTr="00744BAF">
        <w:trPr>
          <w:gridAfter w:val="1"/>
          <w:wAfter w:w="51" w:type="dxa"/>
          <w:trHeight w:val="90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C6D0" w14:textId="77777777" w:rsidR="00ED4DB2" w:rsidRPr="00D83ABD" w:rsidRDefault="00ED4DB2" w:rsidP="0098464A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№</w:t>
            </w:r>
          </w:p>
          <w:p w14:paraId="17360BFB" w14:textId="77777777" w:rsidR="00ED4DB2" w:rsidRPr="00D83ABD" w:rsidRDefault="00ED4DB2" w:rsidP="0098464A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5DC0" w14:textId="77777777" w:rsidR="00ED4DB2" w:rsidRPr="00D83ABD" w:rsidRDefault="00ED4DB2" w:rsidP="00232679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 xml:space="preserve">Показники розподілу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3FC1" w14:textId="7DDE5C45" w:rsidR="00ED4DB2" w:rsidRDefault="00ED4DB2" w:rsidP="00232679">
            <w:pPr>
              <w:jc w:val="center"/>
              <w:rPr>
                <w:color w:val="000000"/>
              </w:rPr>
            </w:pPr>
            <w:r w:rsidRPr="00D83ABD">
              <w:t>Вага показ</w:t>
            </w:r>
            <w:r w:rsidR="00744BAF">
              <w:t>-</w:t>
            </w:r>
            <w:r w:rsidRPr="00D83ABD">
              <w:t>ника, %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A103" w14:textId="77777777" w:rsidR="00ED4DB2" w:rsidRPr="00D83ABD" w:rsidRDefault="00ED4DB2" w:rsidP="00232679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Суспільна важливість</w:t>
            </w:r>
            <w:r w:rsidRPr="00D83ABD">
              <w:rPr>
                <w:color w:val="000000"/>
              </w:rPr>
              <w:br/>
              <w:t>(групи)</w:t>
            </w:r>
          </w:p>
        </w:tc>
      </w:tr>
    </w:tbl>
    <w:p w14:paraId="59B6800A" w14:textId="77777777" w:rsidR="00ED4DB2" w:rsidRPr="00D83ABD" w:rsidRDefault="00ED4DB2" w:rsidP="00232679">
      <w:pPr>
        <w:jc w:val="center"/>
        <w:rPr>
          <w:sz w:val="2"/>
        </w:rPr>
      </w:pPr>
    </w:p>
    <w:tbl>
      <w:tblPr>
        <w:tblW w:w="10099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602"/>
        <w:gridCol w:w="3969"/>
        <w:gridCol w:w="1276"/>
        <w:gridCol w:w="3543"/>
        <w:gridCol w:w="709"/>
      </w:tblGrid>
      <w:tr w:rsidR="00ED4DB2" w:rsidRPr="00D83ABD" w14:paraId="1B9CBB93" w14:textId="77777777" w:rsidTr="00744BAF">
        <w:trPr>
          <w:trHeight w:val="297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F2DF" w14:textId="77777777" w:rsidR="00ED4DB2" w:rsidRPr="00D83ABD" w:rsidRDefault="00ED4DB2" w:rsidP="0098464A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3CCA" w14:textId="77777777" w:rsidR="00ED4DB2" w:rsidRPr="00D83ABD" w:rsidRDefault="00ED4DB2" w:rsidP="00232679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DAD0" w14:textId="77777777" w:rsidR="00ED4DB2" w:rsidRPr="00D83ABD" w:rsidRDefault="00ED4DB2" w:rsidP="00232679">
            <w:pPr>
              <w:jc w:val="center"/>
            </w:pPr>
            <w:r w:rsidRPr="00D83ABD"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37B4" w14:textId="77777777" w:rsidR="00ED4DB2" w:rsidRPr="00D83ABD" w:rsidRDefault="00ED4DB2" w:rsidP="00232679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4</w:t>
            </w:r>
          </w:p>
        </w:tc>
      </w:tr>
      <w:tr w:rsidR="00ED4DB2" w:rsidRPr="00D83ABD" w14:paraId="372B358C" w14:textId="77777777" w:rsidTr="00744BAF">
        <w:trPr>
          <w:trHeight w:val="300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BF4E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096D" w14:textId="77777777" w:rsidR="00ED4DB2" w:rsidRPr="00D83ABD" w:rsidRDefault="00ED4DB2" w:rsidP="00F45C97">
            <w:pPr>
              <w:rPr>
                <w:color w:val="000000"/>
              </w:rPr>
            </w:pPr>
            <w:r w:rsidRPr="00D83ABD">
              <w:rPr>
                <w:color w:val="000000"/>
              </w:rPr>
              <w:t xml:space="preserve">Частка чистих страхових премій </w:t>
            </w:r>
            <w:r>
              <w:rPr>
                <w:color w:val="000000"/>
              </w:rPr>
              <w:t>у</w:t>
            </w:r>
            <w:r w:rsidRPr="00D83ABD">
              <w:rPr>
                <w:color w:val="000000"/>
              </w:rPr>
              <w:t xml:space="preserve"> загальному обсязі  чистих страхових премій або частка довгострокових резервів у страхових резервах зі страхування життя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5843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EEFD" w14:textId="77777777" w:rsidR="00ED4DB2" w:rsidRPr="00D83ABD" w:rsidRDefault="00ED4DB2" w:rsidP="00F45C97">
            <w:r w:rsidRPr="00D83ABD">
              <w:t>3% (включно) і більше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21EC" w14:textId="77777777" w:rsidR="00ED4DB2" w:rsidRPr="00D83ABD" w:rsidRDefault="00ED4DB2" w:rsidP="00F45C97">
            <w:pPr>
              <w:jc w:val="center"/>
            </w:pPr>
            <w:r w:rsidRPr="00D83ABD">
              <w:t>1</w:t>
            </w:r>
          </w:p>
        </w:tc>
      </w:tr>
      <w:tr w:rsidR="00ED4DB2" w:rsidRPr="00D83ABD" w14:paraId="5E2F5C9C" w14:textId="77777777" w:rsidTr="00744BAF">
        <w:trPr>
          <w:trHeight w:val="37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21B65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1BBDF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12D1C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4F83" w14:textId="19B36AB6" w:rsidR="00ED4DB2" w:rsidRPr="00D83ABD" w:rsidRDefault="0012178C" w:rsidP="00F45C97">
            <w:r>
              <w:t>В</w:t>
            </w:r>
            <w:r w:rsidR="00ED4DB2" w:rsidRPr="00D83ABD">
              <w:t>ід 2% (включно) до 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FAE0" w14:textId="77777777" w:rsidR="00ED4DB2" w:rsidRPr="00D83ABD" w:rsidRDefault="00ED4DB2" w:rsidP="00F45C97">
            <w:pPr>
              <w:jc w:val="center"/>
            </w:pPr>
            <w:r w:rsidRPr="00D83ABD">
              <w:t>2</w:t>
            </w:r>
          </w:p>
        </w:tc>
      </w:tr>
      <w:tr w:rsidR="00ED4DB2" w:rsidRPr="00D83ABD" w14:paraId="54B64A56" w14:textId="77777777" w:rsidTr="00744BAF">
        <w:trPr>
          <w:trHeight w:val="51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0A277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5883E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8AAA3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936" w14:textId="6D1F7AEC" w:rsidR="00ED4DB2" w:rsidRPr="00D83ABD" w:rsidRDefault="0012178C" w:rsidP="003B0FDF">
            <w:r>
              <w:t>В</w:t>
            </w:r>
            <w:r w:rsidR="00ED4DB2" w:rsidRPr="00D83ABD">
              <w:t>ід 0</w:t>
            </w:r>
            <w:r w:rsidR="004E5757">
              <w:t>,</w:t>
            </w:r>
            <w:r w:rsidR="00ED4DB2" w:rsidRPr="00D83ABD">
              <w:t>5% (включно) до 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86B9" w14:textId="77777777" w:rsidR="00ED4DB2" w:rsidRPr="00D83ABD" w:rsidRDefault="00ED4DB2" w:rsidP="00F45C97">
            <w:pPr>
              <w:jc w:val="center"/>
            </w:pPr>
            <w:r w:rsidRPr="00D83ABD">
              <w:t>3</w:t>
            </w:r>
          </w:p>
        </w:tc>
      </w:tr>
      <w:tr w:rsidR="00ED4DB2" w:rsidRPr="00D83ABD" w14:paraId="030E85C7" w14:textId="77777777" w:rsidTr="00744BAF">
        <w:trPr>
          <w:trHeight w:val="511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AAFE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C5BE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BA0E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6F20" w14:textId="6393B052" w:rsidR="00ED4DB2" w:rsidRPr="00D83ABD" w:rsidRDefault="0012178C" w:rsidP="004E5757">
            <w:r>
              <w:t>М</w:t>
            </w:r>
            <w:r w:rsidR="00ED4DB2" w:rsidRPr="00D83ABD">
              <w:t>енше 0</w:t>
            </w:r>
            <w:r w:rsidR="004E5757">
              <w:t>,</w:t>
            </w:r>
            <w:r w:rsidR="00ED4DB2" w:rsidRPr="00D83ABD">
              <w:t>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1CF67" w14:textId="77777777" w:rsidR="00ED4DB2" w:rsidRPr="00D83ABD" w:rsidRDefault="00ED4DB2" w:rsidP="00F45C97">
            <w:pPr>
              <w:jc w:val="center"/>
            </w:pPr>
            <w:r w:rsidRPr="00D83ABD">
              <w:t>4</w:t>
            </w:r>
          </w:p>
        </w:tc>
      </w:tr>
      <w:tr w:rsidR="00ED4DB2" w:rsidRPr="00D83ABD" w14:paraId="674C4C8E" w14:textId="77777777" w:rsidTr="00744BAF">
        <w:trPr>
          <w:trHeight w:val="405"/>
        </w:trPr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D139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5ED0" w14:textId="36BA2303" w:rsidR="00ED4DB2" w:rsidRPr="00D83ABD" w:rsidRDefault="00ED4DB2" w:rsidP="00F45C97">
            <w:pPr>
              <w:rPr>
                <w:color w:val="000000"/>
              </w:rPr>
            </w:pPr>
            <w:r w:rsidRPr="00D83ABD">
              <w:rPr>
                <w:color w:val="000000"/>
              </w:rPr>
              <w:t>Частка страхових премій (валових) страховика, нарахованих за договорами  страхування</w:t>
            </w:r>
            <w:r>
              <w:rPr>
                <w:color w:val="000000"/>
              </w:rPr>
              <w:t>,</w:t>
            </w:r>
            <w:r w:rsidRPr="00D83ABD">
              <w:rPr>
                <w:color w:val="000000"/>
              </w:rPr>
              <w:t xml:space="preserve"> укладеними зі страхувальниками </w:t>
            </w:r>
            <w:r w:rsidR="00582835">
              <w:rPr>
                <w:color w:val="000000"/>
              </w:rPr>
              <w:t xml:space="preserve">– </w:t>
            </w:r>
            <w:r w:rsidRPr="00D83ABD">
              <w:rPr>
                <w:color w:val="000000"/>
              </w:rPr>
              <w:t xml:space="preserve">фізичними особами, у валових страхових преміях, отриманих протягом періоду </w:t>
            </w:r>
            <w:r>
              <w:rPr>
                <w:bCs/>
                <w:color w:val="000000"/>
                <w:shd w:val="clear" w:color="auto" w:fill="FFFFFF"/>
              </w:rPr>
              <w:t>оцінювання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19A4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9EBE" w14:textId="77777777" w:rsidR="00ED4DB2" w:rsidRPr="00D83ABD" w:rsidRDefault="00ED4DB2" w:rsidP="00F45C97">
            <w:r w:rsidRPr="00D83ABD">
              <w:t>60% (включно) і більше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A3A9" w14:textId="77777777" w:rsidR="00ED4DB2" w:rsidRPr="00D83ABD" w:rsidRDefault="00ED4DB2" w:rsidP="00F45C97">
            <w:pPr>
              <w:jc w:val="center"/>
            </w:pPr>
            <w:r w:rsidRPr="00D83ABD">
              <w:t>1</w:t>
            </w:r>
          </w:p>
        </w:tc>
      </w:tr>
      <w:tr w:rsidR="00ED4DB2" w:rsidRPr="00D83ABD" w14:paraId="4C94B180" w14:textId="77777777" w:rsidTr="00744BAF">
        <w:trPr>
          <w:trHeight w:val="54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1CC55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A8D689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B10C5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4EF3" w14:textId="68462C0D" w:rsidR="00ED4DB2" w:rsidRPr="00D83ABD" w:rsidRDefault="0012178C" w:rsidP="00F45C97">
            <w:r>
              <w:t>В</w:t>
            </w:r>
            <w:r w:rsidR="00ED4DB2" w:rsidRPr="00D83ABD">
              <w:t>ід 25% (включно) до 60%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A403" w14:textId="77777777" w:rsidR="00ED4DB2" w:rsidRPr="00D83ABD" w:rsidRDefault="00ED4DB2" w:rsidP="00F45C97">
            <w:pPr>
              <w:jc w:val="center"/>
            </w:pPr>
            <w:r w:rsidRPr="00D83ABD">
              <w:t>2</w:t>
            </w:r>
          </w:p>
        </w:tc>
      </w:tr>
      <w:tr w:rsidR="00ED4DB2" w:rsidRPr="00D83ABD" w14:paraId="4A753DB7" w14:textId="77777777" w:rsidTr="00744BAF">
        <w:trPr>
          <w:trHeight w:val="35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6A4DFE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3F08F4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73FE7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2A6F" w14:textId="6714E6D5" w:rsidR="00ED4DB2" w:rsidRPr="00D83ABD" w:rsidRDefault="0012178C" w:rsidP="00F45C97">
            <w:r>
              <w:t>В</w:t>
            </w:r>
            <w:r w:rsidR="00ED4DB2" w:rsidRPr="00D83ABD">
              <w:t>ід 5% (включно) до 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8990" w14:textId="77777777" w:rsidR="00ED4DB2" w:rsidRPr="00D83ABD" w:rsidRDefault="00ED4DB2" w:rsidP="00F45C97">
            <w:pPr>
              <w:jc w:val="center"/>
            </w:pPr>
            <w:r w:rsidRPr="00D83ABD">
              <w:t>3</w:t>
            </w:r>
          </w:p>
        </w:tc>
      </w:tr>
      <w:tr w:rsidR="00ED4DB2" w:rsidRPr="00D83ABD" w14:paraId="0ACBF6BA" w14:textId="77777777" w:rsidTr="00744BAF">
        <w:trPr>
          <w:trHeight w:val="351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7E9C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D413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DFF4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61A4" w14:textId="697D1F6B" w:rsidR="00ED4DB2" w:rsidRPr="00D83ABD" w:rsidRDefault="0012178C" w:rsidP="00C678B7">
            <w:pPr>
              <w:tabs>
                <w:tab w:val="left" w:pos="3240"/>
              </w:tabs>
            </w:pPr>
            <w:r>
              <w:t>М</w:t>
            </w:r>
            <w:r w:rsidR="00ED4DB2" w:rsidRPr="00D83ABD">
              <w:t>енше 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ADC9" w14:textId="77777777" w:rsidR="00ED4DB2" w:rsidRPr="00D83ABD" w:rsidRDefault="00ED4DB2" w:rsidP="00F45C97">
            <w:pPr>
              <w:jc w:val="center"/>
            </w:pPr>
            <w:r w:rsidRPr="00D83ABD">
              <w:t>4</w:t>
            </w:r>
          </w:p>
        </w:tc>
      </w:tr>
      <w:tr w:rsidR="00ED4DB2" w:rsidRPr="00D83ABD" w14:paraId="376A92E0" w14:textId="77777777" w:rsidTr="00744BAF">
        <w:trPr>
          <w:trHeight w:val="351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4F6F7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340D1" w14:textId="77777777" w:rsidR="00ED4DB2" w:rsidRPr="00D83ABD" w:rsidRDefault="00ED4DB2" w:rsidP="00F45C97">
            <w:pPr>
              <w:rPr>
                <w:color w:val="000000"/>
              </w:rPr>
            </w:pPr>
            <w:r w:rsidRPr="00D83ABD">
              <w:rPr>
                <w:color w:val="000000"/>
              </w:rPr>
              <w:t xml:space="preserve">Балансова вартість активів страховика на останню звітну дату періоду </w:t>
            </w:r>
            <w:r>
              <w:rPr>
                <w:bCs/>
                <w:color w:val="000000"/>
                <w:shd w:val="clear" w:color="auto" w:fill="FFFFFF"/>
              </w:rPr>
              <w:t>оцінювання</w:t>
            </w:r>
            <w:r w:rsidRPr="00D83ABD" w:rsidDel="000A2478">
              <w:rPr>
                <w:color w:val="000000"/>
              </w:rPr>
              <w:t xml:space="preserve"> </w:t>
            </w:r>
            <w:r w:rsidRPr="00D83ABD">
              <w:rPr>
                <w:color w:val="000000"/>
              </w:rPr>
              <w:t>(млн грн)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A58A8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810DA" w14:textId="77777777" w:rsidR="00ED4DB2" w:rsidRPr="00D83ABD" w:rsidRDefault="00ED4DB2" w:rsidP="00F45C97">
            <w:pPr>
              <w:rPr>
                <w:color w:val="000000"/>
              </w:rPr>
            </w:pPr>
            <w:r w:rsidRPr="00D83ABD">
              <w:rPr>
                <w:color w:val="000000"/>
              </w:rPr>
              <w:t>300 (включно) і більше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63A6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1</w:t>
            </w:r>
          </w:p>
        </w:tc>
      </w:tr>
      <w:tr w:rsidR="00ED4DB2" w:rsidRPr="00D83ABD" w14:paraId="0CA62676" w14:textId="77777777" w:rsidTr="00744BAF">
        <w:trPr>
          <w:trHeight w:val="35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15E5D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D818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80768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0EFD6" w14:textId="002B372C" w:rsidR="00ED4DB2" w:rsidRPr="00D83ABD" w:rsidRDefault="0012178C" w:rsidP="00F45C9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D4DB2" w:rsidRPr="00D83ABD">
              <w:rPr>
                <w:color w:val="000000"/>
              </w:rPr>
              <w:t xml:space="preserve">ід 100 (включно) до 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D8A0F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2</w:t>
            </w:r>
          </w:p>
        </w:tc>
      </w:tr>
      <w:tr w:rsidR="00ED4DB2" w:rsidRPr="00D83ABD" w14:paraId="71B11B50" w14:textId="77777777" w:rsidTr="00744BAF">
        <w:trPr>
          <w:trHeight w:val="35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E3B81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DBE5E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D1BAD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B9BAF" w14:textId="14F04AA9" w:rsidR="00ED4DB2" w:rsidRPr="00D83ABD" w:rsidRDefault="0012178C" w:rsidP="00F45C9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D4DB2" w:rsidRPr="00D83ABD">
              <w:rPr>
                <w:color w:val="000000"/>
              </w:rPr>
              <w:t xml:space="preserve">ід 50 (включно) до 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04844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3</w:t>
            </w:r>
          </w:p>
        </w:tc>
      </w:tr>
      <w:tr w:rsidR="00ED4DB2" w:rsidRPr="00D83ABD" w14:paraId="3A4837F0" w14:textId="77777777" w:rsidTr="00744BAF">
        <w:trPr>
          <w:trHeight w:val="351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B843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A0E8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B175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FB2CA" w14:textId="616CE74C" w:rsidR="00ED4DB2" w:rsidRPr="00D83ABD" w:rsidRDefault="0012178C" w:rsidP="00F45C9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D4DB2" w:rsidRPr="00D83ABD">
              <w:rPr>
                <w:color w:val="000000"/>
              </w:rPr>
              <w:t xml:space="preserve">енше 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CEB1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4</w:t>
            </w:r>
          </w:p>
        </w:tc>
      </w:tr>
      <w:tr w:rsidR="00ED4DB2" w:rsidRPr="00D83ABD" w14:paraId="66CFFCAC" w14:textId="77777777" w:rsidTr="00744BAF">
        <w:trPr>
          <w:trHeight w:val="300"/>
        </w:trPr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6D1A5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4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59084" w14:textId="77777777" w:rsidR="00ED4DB2" w:rsidRDefault="00ED4DB2" w:rsidP="00F45C97">
            <w:pPr>
              <w:rPr>
                <w:color w:val="000000"/>
              </w:rPr>
            </w:pPr>
            <w:r w:rsidRPr="00D83ABD">
              <w:rPr>
                <w:color w:val="000000"/>
              </w:rPr>
              <w:t xml:space="preserve">Середній обсяг сформованих страхових резервів за період </w:t>
            </w:r>
            <w:r>
              <w:rPr>
                <w:bCs/>
                <w:color w:val="000000"/>
                <w:shd w:val="clear" w:color="auto" w:fill="FFFFFF"/>
              </w:rPr>
              <w:t>оцінювання</w:t>
            </w:r>
            <w:r w:rsidRPr="00D83ABD">
              <w:rPr>
                <w:color w:val="000000"/>
              </w:rPr>
              <w:t xml:space="preserve"> на кожну звітну дату</w:t>
            </w:r>
            <w:r>
              <w:rPr>
                <w:color w:val="000000"/>
              </w:rPr>
              <w:t xml:space="preserve"> </w:t>
            </w:r>
            <w:r w:rsidRPr="00D83ABD">
              <w:rPr>
                <w:color w:val="000000"/>
              </w:rPr>
              <w:t>(млн грн)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5EF40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30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0ED1" w14:textId="77777777" w:rsidR="00ED4DB2" w:rsidRPr="00D83ABD" w:rsidRDefault="00ED4DB2" w:rsidP="00F45C97">
            <w:pPr>
              <w:rPr>
                <w:color w:val="000000"/>
              </w:rPr>
            </w:pPr>
            <w:r w:rsidRPr="00D83ABD">
              <w:rPr>
                <w:color w:val="000000"/>
              </w:rPr>
              <w:t xml:space="preserve">Більше 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D33FC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1</w:t>
            </w:r>
          </w:p>
        </w:tc>
      </w:tr>
      <w:tr w:rsidR="00ED4DB2" w:rsidRPr="00D83ABD" w14:paraId="42CA468C" w14:textId="77777777" w:rsidTr="00744BAF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D402E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4128F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8B65D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8F363" w14:textId="29F235C5" w:rsidR="00ED4DB2" w:rsidRPr="00D83ABD" w:rsidRDefault="0012178C" w:rsidP="00F45C9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D4DB2" w:rsidRPr="00D83ABD">
              <w:rPr>
                <w:color w:val="000000"/>
              </w:rPr>
              <w:t>ід 40 до 200 (включно)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0DF5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2</w:t>
            </w:r>
          </w:p>
        </w:tc>
      </w:tr>
      <w:tr w:rsidR="00ED4DB2" w:rsidRPr="00D83ABD" w14:paraId="633AB78B" w14:textId="77777777" w:rsidTr="00744BAF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13AD4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ACC46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BA3E6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7BCE" w14:textId="6751595F" w:rsidR="00ED4DB2" w:rsidRPr="00D83ABD" w:rsidRDefault="0012178C" w:rsidP="00F45C9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D4DB2" w:rsidRPr="00D83ABD">
              <w:rPr>
                <w:color w:val="000000"/>
              </w:rPr>
              <w:t>ід 20 до 40 (включно)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97217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3</w:t>
            </w:r>
          </w:p>
        </w:tc>
      </w:tr>
      <w:tr w:rsidR="00ED4DB2" w:rsidRPr="00D83ABD" w14:paraId="3806F5E9" w14:textId="77777777" w:rsidTr="00744BAF">
        <w:trPr>
          <w:trHeight w:val="300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2B82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F62A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7E3A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05029" w14:textId="36DE7E15" w:rsidR="00ED4DB2" w:rsidRPr="00D83ABD" w:rsidRDefault="0012178C" w:rsidP="00F45C97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ED4DB2" w:rsidRPr="00D83ABD">
              <w:rPr>
                <w:color w:val="000000"/>
              </w:rPr>
              <w:t xml:space="preserve">енше </w:t>
            </w:r>
            <w:r w:rsidR="00ED4DB2" w:rsidRPr="00D83ABD">
              <w:t xml:space="preserve">20 </w:t>
            </w:r>
            <w:r w:rsidR="00ED4DB2" w:rsidRPr="00D83ABD">
              <w:rPr>
                <w:color w:val="000000"/>
              </w:rPr>
              <w:t>(включно)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00D9B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4</w:t>
            </w:r>
          </w:p>
        </w:tc>
      </w:tr>
      <w:tr w:rsidR="00ED4DB2" w:rsidRPr="00D83ABD" w14:paraId="51479255" w14:textId="77777777" w:rsidTr="00744BAF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B632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5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9219" w14:textId="0D521B5F" w:rsidR="00ED4DB2" w:rsidRPr="00D83ABD" w:rsidRDefault="00ED4DB2" w:rsidP="00F45C97">
            <w:pPr>
              <w:rPr>
                <w:color w:val="000000"/>
              </w:rPr>
            </w:pPr>
            <w:r w:rsidRPr="00D83ABD">
              <w:rPr>
                <w:color w:val="000000"/>
              </w:rPr>
              <w:t>Розгалуженість мережі страховика (кількість відокремлених підрозділів) (одиниць)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C5B1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CD78" w14:textId="77777777" w:rsidR="00ED4DB2" w:rsidRPr="00D83ABD" w:rsidRDefault="00ED4DB2" w:rsidP="00F45C97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D83ABD">
              <w:rPr>
                <w:color w:val="000000"/>
              </w:rPr>
              <w:t>ільше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8150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1</w:t>
            </w:r>
          </w:p>
        </w:tc>
      </w:tr>
      <w:tr w:rsidR="00ED4DB2" w:rsidRPr="00D83ABD" w14:paraId="04B2049D" w14:textId="77777777" w:rsidTr="00744BAF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B087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093A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DC46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39FA" w14:textId="1CFC26CA" w:rsidR="00ED4DB2" w:rsidRPr="00D83ABD" w:rsidRDefault="0012178C" w:rsidP="00F45C9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D4DB2" w:rsidRPr="00D83ABD">
              <w:rPr>
                <w:color w:val="000000"/>
              </w:rPr>
              <w:t>ід 3 до 5 (включно)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0FC5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2</w:t>
            </w:r>
          </w:p>
        </w:tc>
      </w:tr>
      <w:tr w:rsidR="00ED4DB2" w:rsidRPr="00D83ABD" w14:paraId="2328A8B0" w14:textId="77777777" w:rsidTr="00744BAF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9AE1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8B25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E960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8E71C" w14:textId="1068C25E" w:rsidR="00ED4DB2" w:rsidRPr="00D83ABD" w:rsidRDefault="0012178C" w:rsidP="00F45C9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D4DB2" w:rsidRPr="00D83ABD">
              <w:rPr>
                <w:color w:val="000000"/>
              </w:rPr>
              <w:t>ід 1 до 3 (включно)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F1D7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3</w:t>
            </w:r>
          </w:p>
        </w:tc>
      </w:tr>
      <w:tr w:rsidR="00ED4DB2" w:rsidRPr="00D83ABD" w14:paraId="0832C1F6" w14:textId="77777777" w:rsidTr="00744BAF">
        <w:trPr>
          <w:trHeight w:val="30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C2AC5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C8AB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20B0" w14:textId="77777777" w:rsidR="00ED4DB2" w:rsidRPr="00D83ABD" w:rsidRDefault="00ED4DB2" w:rsidP="00F45C97">
            <w:pPr>
              <w:rPr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CE3E" w14:textId="0DF5F05E" w:rsidR="00ED4DB2" w:rsidRPr="00D83ABD" w:rsidRDefault="0012178C" w:rsidP="00F45C97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D4DB2">
              <w:rPr>
                <w:color w:val="000000"/>
              </w:rPr>
              <w:t>емає</w:t>
            </w:r>
            <w:r w:rsidR="00ED4DB2" w:rsidRPr="00D83ABD">
              <w:rPr>
                <w:color w:val="000000"/>
              </w:rPr>
              <w:t xml:space="preserve"> відокремлен</w:t>
            </w:r>
            <w:r w:rsidR="00ED4DB2">
              <w:rPr>
                <w:color w:val="000000"/>
              </w:rPr>
              <w:t>их</w:t>
            </w:r>
            <w:r w:rsidR="00ED4DB2" w:rsidRPr="00D83ABD">
              <w:rPr>
                <w:color w:val="000000"/>
              </w:rPr>
              <w:t xml:space="preserve"> підрозділ</w:t>
            </w:r>
            <w:r w:rsidR="00ED4DB2">
              <w:rPr>
                <w:color w:val="000000"/>
              </w:rPr>
              <w:t>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CCE1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4</w:t>
            </w:r>
          </w:p>
        </w:tc>
      </w:tr>
    </w:tbl>
    <w:p w14:paraId="2E658086" w14:textId="77777777" w:rsidR="008C6ED1" w:rsidRDefault="008C6ED1" w:rsidP="00C678B7">
      <w:pPr>
        <w:jc w:val="center"/>
      </w:pPr>
    </w:p>
    <w:p w14:paraId="2097759C" w14:textId="77777777" w:rsidR="008C6ED1" w:rsidRDefault="008C6ED1" w:rsidP="00C678B7">
      <w:pPr>
        <w:jc w:val="center"/>
      </w:pPr>
    </w:p>
    <w:p w14:paraId="40047C35" w14:textId="7CA35241" w:rsidR="00ED4DB2" w:rsidRDefault="00ED4DB2" w:rsidP="00C678B7">
      <w:pPr>
        <w:jc w:val="center"/>
      </w:pPr>
      <w:r w:rsidRPr="00D83ABD">
        <w:t>Пояснення до критеріїв для визначення суспільної важливості страховика</w:t>
      </w:r>
    </w:p>
    <w:p w14:paraId="37EFE8CD" w14:textId="77777777" w:rsidR="006A0BED" w:rsidRPr="00D83ABD" w:rsidRDefault="006A0BED" w:rsidP="00C678B7">
      <w:pPr>
        <w:jc w:val="center"/>
      </w:pPr>
    </w:p>
    <w:p w14:paraId="071DE08A" w14:textId="5D1D91A2" w:rsidR="00ED4DB2" w:rsidRDefault="00ED4DB2" w:rsidP="008B217B">
      <w:pPr>
        <w:pStyle w:val="af3"/>
        <w:numPr>
          <w:ilvl w:val="0"/>
          <w:numId w:val="18"/>
        </w:numPr>
        <w:ind w:left="0" w:firstLine="567"/>
        <w:jc w:val="left"/>
      </w:pPr>
      <w:r w:rsidRPr="00D83ABD">
        <w:t>Чисті страхові премії розраховані як валові страхові премії за мінусом частки страхових премій</w:t>
      </w:r>
      <w:r>
        <w:t>,</w:t>
      </w:r>
      <w:r w:rsidRPr="00D83ABD">
        <w:t xml:space="preserve"> належних перестраховикам-резидентам.</w:t>
      </w:r>
    </w:p>
    <w:p w14:paraId="203BB519" w14:textId="77777777" w:rsidR="00ED4DB2" w:rsidRPr="00D83ABD" w:rsidRDefault="00ED4DB2" w:rsidP="00ED4DB2">
      <w:pPr>
        <w:pStyle w:val="af3"/>
        <w:ind w:left="0" w:firstLine="426"/>
      </w:pPr>
    </w:p>
    <w:p w14:paraId="2D9F44F1" w14:textId="77777777" w:rsidR="00ED4DB2" w:rsidRPr="00D83ABD" w:rsidRDefault="00ED4DB2" w:rsidP="00ED4DB2">
      <w:pPr>
        <w:sectPr w:rsidR="00ED4DB2" w:rsidRPr="00D83ABD" w:rsidSect="00197BFA">
          <w:headerReference w:type="default" r:id="rId19"/>
          <w:headerReference w:type="first" r:id="rId20"/>
          <w:pgSz w:w="11906" w:h="16838" w:code="9"/>
          <w:pgMar w:top="567" w:right="567" w:bottom="1701" w:left="1701" w:header="567" w:footer="709" w:gutter="0"/>
          <w:pgNumType w:start="1"/>
          <w:cols w:space="708"/>
          <w:titlePg/>
          <w:docGrid w:linePitch="381"/>
        </w:sectPr>
      </w:pPr>
    </w:p>
    <w:tbl>
      <w:tblPr>
        <w:tblW w:w="9742" w:type="dxa"/>
        <w:tblLayout w:type="fixed"/>
        <w:tblLook w:val="0480" w:firstRow="0" w:lastRow="0" w:firstColumn="1" w:lastColumn="0" w:noHBand="0" w:noVBand="1"/>
      </w:tblPr>
      <w:tblGrid>
        <w:gridCol w:w="709"/>
        <w:gridCol w:w="2977"/>
        <w:gridCol w:w="1276"/>
        <w:gridCol w:w="4780"/>
      </w:tblGrid>
      <w:tr w:rsidR="00ED4DB2" w:rsidRPr="00D83ABD" w14:paraId="7A7A56AF" w14:textId="77777777" w:rsidTr="00C678B7">
        <w:trPr>
          <w:trHeight w:val="1245"/>
        </w:trPr>
        <w:tc>
          <w:tcPr>
            <w:tcW w:w="97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4A89E" w14:textId="77777777" w:rsidR="00ED4DB2" w:rsidRPr="00D83ABD" w:rsidRDefault="00ED4DB2" w:rsidP="00BF429A">
            <w:pPr>
              <w:pStyle w:val="af3"/>
              <w:ind w:left="5145"/>
            </w:pPr>
            <w:r w:rsidRPr="00D83ABD">
              <w:lastRenderedPageBreak/>
              <w:t>Додаток 5</w:t>
            </w:r>
          </w:p>
          <w:p w14:paraId="636591C8" w14:textId="014A7931" w:rsidR="00ED4DB2" w:rsidRPr="00D83ABD" w:rsidRDefault="00ED4DB2" w:rsidP="00BF429A">
            <w:pPr>
              <w:keepNext/>
              <w:ind w:left="5145"/>
              <w:outlineLvl w:val="2"/>
              <w:rPr>
                <w:b/>
                <w:bCs/>
                <w:color w:val="000000"/>
              </w:rPr>
            </w:pPr>
            <w:r w:rsidRPr="00D83ABD">
              <w:t xml:space="preserve">до </w:t>
            </w:r>
            <w:r w:rsidRPr="00D83ABD">
              <w:rPr>
                <w:bCs/>
                <w:color w:val="000000"/>
              </w:rPr>
              <w:t xml:space="preserve">Положення про встановлення </w:t>
            </w:r>
            <w:r w:rsidRPr="00636AE0">
              <w:rPr>
                <w:bCs/>
              </w:rPr>
              <w:t>критеріїв, за якими оцінюється ступінь ризику від здійснення діяльності учасниками ринку небанківських фінансових послуг, їх суспільн</w:t>
            </w:r>
            <w:r w:rsidR="005D4741">
              <w:rPr>
                <w:bCs/>
              </w:rPr>
              <w:t>а</w:t>
            </w:r>
            <w:r w:rsidRPr="00636AE0">
              <w:rPr>
                <w:bCs/>
              </w:rPr>
              <w:t xml:space="preserve"> важливість</w:t>
            </w:r>
          </w:p>
          <w:p w14:paraId="4A96A46F" w14:textId="03F82E19" w:rsidR="00ED4DB2" w:rsidRDefault="00ED4DB2" w:rsidP="00BF429A">
            <w:pPr>
              <w:ind w:left="5145"/>
            </w:pPr>
            <w:r w:rsidRPr="00D83ABD">
              <w:t xml:space="preserve">(пункт </w:t>
            </w:r>
            <w:r w:rsidR="0063305B">
              <w:t>21</w:t>
            </w:r>
            <w:r w:rsidR="0063305B" w:rsidRPr="00D83ABD">
              <w:t xml:space="preserve"> </w:t>
            </w:r>
            <w:r w:rsidRPr="00D83ABD">
              <w:t>розділу II)</w:t>
            </w:r>
          </w:p>
          <w:p w14:paraId="630D2D20" w14:textId="77777777" w:rsidR="005D4741" w:rsidRPr="00D83ABD" w:rsidRDefault="005D4741" w:rsidP="00F45C97">
            <w:pPr>
              <w:ind w:left="5937"/>
            </w:pPr>
          </w:p>
          <w:p w14:paraId="102F1D0E" w14:textId="09BD79A1" w:rsidR="005D4741" w:rsidRPr="002E17F8" w:rsidRDefault="00ED4DB2" w:rsidP="002E17F8">
            <w:pPr>
              <w:jc w:val="center"/>
            </w:pPr>
            <w:r w:rsidRPr="00D83ABD">
              <w:t>Критерії для визначення суспільної важливості кредитної спілки</w:t>
            </w:r>
          </w:p>
        </w:tc>
      </w:tr>
      <w:tr w:rsidR="00ED4DB2" w:rsidRPr="00D83ABD" w14:paraId="77F27CFE" w14:textId="77777777" w:rsidTr="00C678B7">
        <w:trPr>
          <w:trHeight w:val="1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650B" w14:textId="77777777" w:rsidR="00ED4DB2" w:rsidRPr="00D83ABD" w:rsidRDefault="00ED4DB2" w:rsidP="0098464A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№</w:t>
            </w:r>
          </w:p>
          <w:p w14:paraId="6D9D3F5E" w14:textId="77777777" w:rsidR="00ED4DB2" w:rsidRPr="00D83ABD" w:rsidRDefault="00ED4DB2" w:rsidP="0098464A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FA53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 xml:space="preserve">Показники розподілу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21B0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t>Вага показ</w:t>
            </w:r>
            <w:r>
              <w:t>-</w:t>
            </w:r>
            <w:r w:rsidRPr="00D83ABD">
              <w:t>ника, %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271F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Суспільна важливість</w:t>
            </w:r>
            <w:r w:rsidRPr="00D83ABD">
              <w:rPr>
                <w:color w:val="000000"/>
              </w:rPr>
              <w:br/>
              <w:t>(групи)</w:t>
            </w:r>
          </w:p>
        </w:tc>
      </w:tr>
    </w:tbl>
    <w:p w14:paraId="2CB206F9" w14:textId="77777777" w:rsidR="00ED4DB2" w:rsidRPr="00D83ABD" w:rsidRDefault="00ED4DB2" w:rsidP="00ED4DB2">
      <w:pPr>
        <w:rPr>
          <w:sz w:val="2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"/>
        <w:gridCol w:w="2977"/>
        <w:gridCol w:w="1276"/>
        <w:gridCol w:w="3969"/>
        <w:gridCol w:w="816"/>
      </w:tblGrid>
      <w:tr w:rsidR="00ED4DB2" w:rsidRPr="00D83ABD" w14:paraId="3573C7AC" w14:textId="77777777" w:rsidTr="002E17F8">
        <w:trPr>
          <w:trHeight w:val="58"/>
          <w:tblHeader/>
        </w:trPr>
        <w:tc>
          <w:tcPr>
            <w:tcW w:w="704" w:type="dxa"/>
            <w:shd w:val="clear" w:color="auto" w:fill="auto"/>
            <w:noWrap/>
            <w:vAlign w:val="center"/>
          </w:tcPr>
          <w:p w14:paraId="44C24B1C" w14:textId="77777777" w:rsidR="00ED4DB2" w:rsidRPr="00D83ABD" w:rsidRDefault="00232679" w:rsidP="0098464A">
            <w:pPr>
              <w:jc w:val="center"/>
              <w:rPr>
                <w:color w:val="000000"/>
              </w:rPr>
            </w:pPr>
            <w:r w:rsidRPr="00D83ABD"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6CC8440A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E72FCA" w14:textId="77777777" w:rsidR="00ED4DB2" w:rsidRPr="00D83ABD" w:rsidRDefault="00ED4DB2" w:rsidP="00F45C97">
            <w:pPr>
              <w:jc w:val="center"/>
            </w:pPr>
            <w:r w:rsidRPr="00D83ABD">
              <w:t>3</w:t>
            </w:r>
          </w:p>
        </w:tc>
        <w:tc>
          <w:tcPr>
            <w:tcW w:w="4785" w:type="dxa"/>
            <w:gridSpan w:val="2"/>
            <w:shd w:val="clear" w:color="auto" w:fill="auto"/>
            <w:vAlign w:val="center"/>
          </w:tcPr>
          <w:p w14:paraId="1521317A" w14:textId="77777777" w:rsidR="00ED4DB2" w:rsidRPr="00D83ABD" w:rsidRDefault="00ED4DB2" w:rsidP="00F45C97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4</w:t>
            </w:r>
          </w:p>
        </w:tc>
      </w:tr>
      <w:tr w:rsidR="00B63203" w:rsidRPr="00D83ABD" w14:paraId="230C21DA" w14:textId="77777777" w:rsidTr="00C678B7">
        <w:trPr>
          <w:trHeight w:val="30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14:paraId="35BFEDB9" w14:textId="437B3C1A" w:rsidR="009F266C" w:rsidRPr="00D83ABD" w:rsidRDefault="00AB61FB" w:rsidP="009F266C">
            <w:pPr>
              <w:jc w:val="center"/>
              <w:rPr>
                <w:color w:val="000000"/>
              </w:rPr>
            </w:pPr>
            <w:r w:rsidRPr="00D83ABD">
              <w:rPr>
                <w:color w:val="000000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1F0F9CB0" w14:textId="77777777" w:rsidR="009F266C" w:rsidRPr="0027082E" w:rsidRDefault="009F266C" w:rsidP="009F266C">
            <w:pPr>
              <w:rPr>
                <w:color w:val="000000"/>
              </w:rPr>
            </w:pPr>
            <w:r w:rsidRPr="0027082E">
              <w:rPr>
                <w:color w:val="000000"/>
              </w:rPr>
              <w:t xml:space="preserve">Балансова вартість активів кредитної спілки на останню звітну дату періоду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rPr>
                <w:color w:val="000000"/>
              </w:rPr>
              <w:t xml:space="preserve"> (млн грн)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4FAD48B" w14:textId="77777777" w:rsidR="009F266C" w:rsidRPr="0027082E" w:rsidRDefault="009F266C" w:rsidP="009F266C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6635231" w14:textId="416FCA09" w:rsidR="00AB61FB" w:rsidRPr="0027082E" w:rsidRDefault="00C037F3" w:rsidP="00AB61FB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B61FB" w:rsidRPr="0027082E">
              <w:rPr>
                <w:color w:val="000000"/>
              </w:rPr>
              <w:t>ід 160 (включно) і більше</w:t>
            </w:r>
          </w:p>
          <w:p w14:paraId="0B55217B" w14:textId="569C0CF2" w:rsidR="00AB61FB" w:rsidRPr="0027082E" w:rsidRDefault="0010613A" w:rsidP="00AB61FB">
            <w:r w:rsidRPr="00646543">
              <w:t>[</w:t>
            </w:r>
            <w:r w:rsidR="00C037F3">
              <w:t>щ</w:t>
            </w:r>
            <w:r w:rsidR="00AB61FB" w:rsidRPr="0027082E">
              <w:t xml:space="preserve">одо кредитних спілок, які мають ліцензії на фінансову послугу з надання коштів у </w:t>
            </w:r>
            <w:r w:rsidR="00E57FD0">
              <w:t xml:space="preserve">позику, в </w:t>
            </w:r>
            <w:r w:rsidR="00AB61FB" w:rsidRPr="0027082E">
              <w:t>тому числі і на умовах фінансового кредиту</w:t>
            </w:r>
            <w:r w:rsidR="00C037F3">
              <w:t>,</w:t>
            </w:r>
            <w:r w:rsidR="00AB61FB" w:rsidRPr="0027082E">
              <w:t xml:space="preserve"> та на фінансову послугу залучення фінансових активів із зобов</w:t>
            </w:r>
            <w:r w:rsidR="00C037F3">
              <w:t>ʼ</w:t>
            </w:r>
            <w:r w:rsidR="00AB61FB" w:rsidRPr="0027082E">
              <w:t>язанням щодо наступного їх повернення (далі</w:t>
            </w:r>
            <w:r w:rsidR="0076587B">
              <w:t> </w:t>
            </w:r>
            <w:r w:rsidR="00AB61FB" w:rsidRPr="0027082E">
              <w:t>– стандартна ліцензія)</w:t>
            </w:r>
            <w:r w:rsidR="004E5742">
              <w:t>,</w:t>
            </w:r>
            <w:r w:rsidR="00FB7E4E">
              <w:rPr>
                <w:lang w:val="ru-RU"/>
              </w:rPr>
              <w:t> </w:t>
            </w:r>
          </w:p>
          <w:p w14:paraId="15B8B2B6" w14:textId="29C04B39" w:rsidR="009F266C" w:rsidRPr="0010613A" w:rsidRDefault="00AB61FB" w:rsidP="004E5742">
            <w:pPr>
              <w:rPr>
                <w:color w:val="000000"/>
              </w:rPr>
            </w:pPr>
            <w:r w:rsidRPr="0027082E">
              <w:t>або щодо кредитних спілок, які мають ліцензію на фінансову послугу з надання коштів у позику, в тому числі і на умовах фінансового кредиту (далі – спрощена ліцензія)</w:t>
            </w:r>
            <w:r w:rsidR="0010613A" w:rsidRPr="00646543">
              <w:rPr>
                <w:lang w:val="ru-RU"/>
              </w:rPr>
              <w:t>]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9ACBE44" w14:textId="35CFE312" w:rsidR="009F266C" w:rsidRPr="0027082E" w:rsidRDefault="009F266C" w:rsidP="009F266C">
            <w:pPr>
              <w:jc w:val="center"/>
            </w:pPr>
            <w:r w:rsidRPr="0027082E">
              <w:t>1</w:t>
            </w:r>
          </w:p>
        </w:tc>
      </w:tr>
      <w:tr w:rsidR="00B63203" w:rsidRPr="0027082E" w14:paraId="5161F993" w14:textId="77777777" w:rsidTr="00C678B7">
        <w:trPr>
          <w:trHeight w:val="375"/>
        </w:trPr>
        <w:tc>
          <w:tcPr>
            <w:tcW w:w="704" w:type="dxa"/>
            <w:vMerge/>
            <w:vAlign w:val="center"/>
            <w:hideMark/>
          </w:tcPr>
          <w:p w14:paraId="237B784C" w14:textId="77777777" w:rsidR="009F266C" w:rsidRPr="00D83ABD" w:rsidRDefault="009F266C" w:rsidP="009F266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52C2B5C1" w14:textId="77777777" w:rsidR="009F266C" w:rsidRPr="00D83ABD" w:rsidRDefault="009F266C" w:rsidP="009F26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12C38528" w14:textId="77777777" w:rsidR="009F266C" w:rsidRPr="00D83ABD" w:rsidRDefault="009F266C" w:rsidP="009F266C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1D8136A" w14:textId="478A12BA" w:rsidR="009F266C" w:rsidRPr="0027082E" w:rsidRDefault="00C037F3" w:rsidP="009F266C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AB61FB" w:rsidRPr="0027082E">
              <w:rPr>
                <w:color w:val="000000"/>
              </w:rPr>
              <w:t>ільше 10 (включно)</w:t>
            </w:r>
            <w:r w:rsidR="004E5742">
              <w:rPr>
                <w:color w:val="000000"/>
              </w:rPr>
              <w:t xml:space="preserve"> і</w:t>
            </w:r>
            <w:r w:rsidR="00AB61FB" w:rsidRPr="0027082E">
              <w:rPr>
                <w:color w:val="000000"/>
              </w:rPr>
              <w:t xml:space="preserve"> менше 160 </w:t>
            </w:r>
            <w:r w:rsidR="00AB61FB" w:rsidRPr="0027082E">
              <w:t>(стандартна ліцензія)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096DB914" w14:textId="3FA76BD7" w:rsidR="009F266C" w:rsidRPr="0027082E" w:rsidRDefault="009F266C" w:rsidP="009F266C">
            <w:pPr>
              <w:jc w:val="center"/>
            </w:pPr>
            <w:r w:rsidRPr="0027082E">
              <w:t>2</w:t>
            </w:r>
          </w:p>
        </w:tc>
      </w:tr>
      <w:tr w:rsidR="00B63203" w:rsidRPr="0027082E" w14:paraId="65ADAE8F" w14:textId="77777777" w:rsidTr="00C678B7">
        <w:trPr>
          <w:trHeight w:val="511"/>
        </w:trPr>
        <w:tc>
          <w:tcPr>
            <w:tcW w:w="704" w:type="dxa"/>
            <w:vMerge/>
            <w:vAlign w:val="center"/>
            <w:hideMark/>
          </w:tcPr>
          <w:p w14:paraId="36B056EB" w14:textId="77777777" w:rsidR="009F266C" w:rsidRPr="0027082E" w:rsidRDefault="009F266C" w:rsidP="009F266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26033909" w14:textId="77777777" w:rsidR="009F266C" w:rsidRPr="0027082E" w:rsidRDefault="009F266C" w:rsidP="009F26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4AFC291" w14:textId="77777777" w:rsidR="009F266C" w:rsidRPr="0027082E" w:rsidRDefault="009F266C" w:rsidP="009F266C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5C82CA3" w14:textId="1F2C4C8C" w:rsidR="009F266C" w:rsidRPr="0027082E" w:rsidRDefault="00C037F3" w:rsidP="009F266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AB61FB" w:rsidRPr="0027082E">
              <w:rPr>
                <w:color w:val="000000"/>
              </w:rPr>
              <w:t xml:space="preserve">енше 10 </w:t>
            </w:r>
            <w:r w:rsidR="00AB61FB" w:rsidRPr="0027082E">
              <w:t>(стандартна ліцензія)</w:t>
            </w:r>
            <w:r w:rsidR="00AB61FB" w:rsidRPr="0027082E">
              <w:rPr>
                <w:sz w:val="20"/>
                <w:szCs w:val="20"/>
              </w:rPr>
              <w:t xml:space="preserve"> </w:t>
            </w:r>
            <w:r w:rsidR="00AB61FB" w:rsidRPr="0027082E">
              <w:rPr>
                <w:color w:val="000000"/>
              </w:rPr>
              <w:t>та/або більше 10 (включно)</w:t>
            </w:r>
            <w:r w:rsidR="004E5742">
              <w:rPr>
                <w:color w:val="000000"/>
              </w:rPr>
              <w:t xml:space="preserve"> і</w:t>
            </w:r>
            <w:r w:rsidR="00AB61FB" w:rsidRPr="0027082E">
              <w:rPr>
                <w:color w:val="000000"/>
              </w:rPr>
              <w:t xml:space="preserve"> менше 160 </w:t>
            </w:r>
            <w:r w:rsidR="00AB61FB" w:rsidRPr="0027082E">
              <w:t>(спрощена ліцензія)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2B653BA3" w14:textId="0BFF8B79" w:rsidR="009F266C" w:rsidRPr="0027082E" w:rsidRDefault="009F266C" w:rsidP="009F266C">
            <w:pPr>
              <w:jc w:val="center"/>
            </w:pPr>
            <w:r w:rsidRPr="0027082E">
              <w:t>3</w:t>
            </w:r>
          </w:p>
        </w:tc>
      </w:tr>
      <w:tr w:rsidR="00B63203" w:rsidRPr="0027082E" w14:paraId="66E30009" w14:textId="77777777" w:rsidTr="002E17F8">
        <w:trPr>
          <w:trHeight w:val="281"/>
        </w:trPr>
        <w:tc>
          <w:tcPr>
            <w:tcW w:w="704" w:type="dxa"/>
            <w:vMerge/>
            <w:vAlign w:val="center"/>
          </w:tcPr>
          <w:p w14:paraId="530E95B1" w14:textId="77777777" w:rsidR="009F266C" w:rsidRPr="0027082E" w:rsidRDefault="009F266C" w:rsidP="009F266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719176CC" w14:textId="77777777" w:rsidR="009F266C" w:rsidRPr="0027082E" w:rsidRDefault="009F266C" w:rsidP="009F26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74876598" w14:textId="77777777" w:rsidR="009F266C" w:rsidRPr="0027082E" w:rsidRDefault="009F266C" w:rsidP="009F266C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0951713B" w14:textId="2C7E2AC7" w:rsidR="009F266C" w:rsidRPr="0027082E" w:rsidRDefault="00C037F3" w:rsidP="009F266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AB61FB" w:rsidRPr="0027082E">
              <w:rPr>
                <w:color w:val="000000"/>
              </w:rPr>
              <w:t xml:space="preserve">енше 10 </w:t>
            </w:r>
            <w:r w:rsidR="00AB61FB" w:rsidRPr="0027082E">
              <w:t>(спрощена ліцензія)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1471A566" w14:textId="21CD1A3E" w:rsidR="009F266C" w:rsidRPr="0027082E" w:rsidRDefault="009F266C" w:rsidP="009F266C">
            <w:pPr>
              <w:jc w:val="center"/>
            </w:pPr>
            <w:r w:rsidRPr="0027082E">
              <w:t>4</w:t>
            </w:r>
          </w:p>
        </w:tc>
      </w:tr>
      <w:tr w:rsidR="00B63203" w:rsidRPr="0027082E" w14:paraId="0FF16A71" w14:textId="77777777" w:rsidTr="00C678B7">
        <w:trPr>
          <w:trHeight w:val="405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14:paraId="2D854C23" w14:textId="77777777" w:rsidR="009F266C" w:rsidRPr="0027082E" w:rsidRDefault="009F266C" w:rsidP="009F266C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14:paraId="6DC69FA5" w14:textId="77777777" w:rsidR="009F266C" w:rsidRPr="0027082E" w:rsidRDefault="009F266C" w:rsidP="009F266C">
            <w:pPr>
              <w:rPr>
                <w:color w:val="000000"/>
              </w:rPr>
            </w:pPr>
            <w:r w:rsidRPr="0027082E">
              <w:rPr>
                <w:color w:val="000000"/>
              </w:rPr>
              <w:t xml:space="preserve">Залишок зобов’язань за внесками (вкладами) на </w:t>
            </w:r>
            <w:r w:rsidRPr="0027082E">
              <w:rPr>
                <w:color w:val="000000"/>
              </w:rPr>
              <w:lastRenderedPageBreak/>
              <w:t>депозитні рахунки (млн грн)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7E78156" w14:textId="77777777" w:rsidR="009F266C" w:rsidRPr="0027082E" w:rsidRDefault="009F266C" w:rsidP="009F266C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lastRenderedPageBreak/>
              <w:t>35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0759BEF3" w14:textId="1C90A1C6" w:rsidR="009F266C" w:rsidRPr="0027082E" w:rsidRDefault="009F266C" w:rsidP="009F266C">
            <w:pPr>
              <w:rPr>
                <w:color w:val="000000"/>
              </w:rPr>
            </w:pPr>
            <w:r w:rsidRPr="0027082E">
              <w:rPr>
                <w:color w:val="000000"/>
              </w:rPr>
              <w:t>46 (включно) і більше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18FF29C0" w14:textId="56E2F68F" w:rsidR="009F266C" w:rsidRPr="0027082E" w:rsidRDefault="009F266C" w:rsidP="009F266C">
            <w:pPr>
              <w:jc w:val="center"/>
            </w:pPr>
            <w:r w:rsidRPr="0027082E">
              <w:t>1</w:t>
            </w:r>
          </w:p>
        </w:tc>
      </w:tr>
      <w:tr w:rsidR="00B63203" w:rsidRPr="0027082E" w14:paraId="614CB516" w14:textId="77777777" w:rsidTr="00C678B7">
        <w:trPr>
          <w:trHeight w:val="540"/>
        </w:trPr>
        <w:tc>
          <w:tcPr>
            <w:tcW w:w="704" w:type="dxa"/>
            <w:vMerge/>
            <w:vAlign w:val="center"/>
            <w:hideMark/>
          </w:tcPr>
          <w:p w14:paraId="3B8D33AA" w14:textId="77777777" w:rsidR="009F266C" w:rsidRPr="0027082E" w:rsidRDefault="009F266C" w:rsidP="009F266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3303C698" w14:textId="77777777" w:rsidR="009F266C" w:rsidRPr="0027082E" w:rsidRDefault="009F266C" w:rsidP="009F26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32E673C9" w14:textId="77777777" w:rsidR="009F266C" w:rsidRPr="0027082E" w:rsidRDefault="009F266C" w:rsidP="009F266C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4DF4B332" w14:textId="67D1064F" w:rsidR="009F266C" w:rsidRPr="0027082E" w:rsidRDefault="00BF3D15" w:rsidP="009F266C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9F266C" w:rsidRPr="0027082E">
              <w:rPr>
                <w:color w:val="000000"/>
              </w:rPr>
              <w:t xml:space="preserve">ід 12 (включно) до 46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3F8B6273" w14:textId="14C79947" w:rsidR="009F266C" w:rsidRPr="0027082E" w:rsidRDefault="009F266C" w:rsidP="0034129A">
            <w:pPr>
              <w:jc w:val="center"/>
            </w:pPr>
            <w:r w:rsidRPr="0027082E">
              <w:t>2</w:t>
            </w:r>
            <w:r w:rsidR="009113E9" w:rsidRPr="0027082E">
              <w:rPr>
                <w:iCs/>
                <w:strike/>
                <w:color w:val="000000"/>
                <w:shd w:val="clear" w:color="auto" w:fill="FFFFFF"/>
              </w:rPr>
              <w:t xml:space="preserve"> </w:t>
            </w:r>
          </w:p>
        </w:tc>
      </w:tr>
      <w:tr w:rsidR="00B63203" w:rsidRPr="0027082E" w14:paraId="390159F4" w14:textId="77777777" w:rsidTr="00C678B7">
        <w:trPr>
          <w:trHeight w:val="351"/>
        </w:trPr>
        <w:tc>
          <w:tcPr>
            <w:tcW w:w="704" w:type="dxa"/>
            <w:vMerge/>
            <w:vAlign w:val="center"/>
            <w:hideMark/>
          </w:tcPr>
          <w:p w14:paraId="56CBE8A1" w14:textId="77777777" w:rsidR="009F266C" w:rsidRPr="0027082E" w:rsidRDefault="009F266C" w:rsidP="009F266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14:paraId="67A847F2" w14:textId="77777777" w:rsidR="009F266C" w:rsidRPr="0027082E" w:rsidRDefault="009F266C" w:rsidP="009F26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3DDCF87D" w14:textId="77777777" w:rsidR="009F266C" w:rsidRPr="0027082E" w:rsidRDefault="009F266C" w:rsidP="009F266C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6135AAA0" w14:textId="257EAFA0" w:rsidR="009F266C" w:rsidRPr="0027082E" w:rsidRDefault="00BF3D15" w:rsidP="009F266C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9F266C" w:rsidRPr="0027082E">
              <w:rPr>
                <w:color w:val="000000"/>
              </w:rPr>
              <w:t xml:space="preserve">енше 12 </w:t>
            </w:r>
          </w:p>
        </w:tc>
        <w:tc>
          <w:tcPr>
            <w:tcW w:w="816" w:type="dxa"/>
            <w:shd w:val="clear" w:color="auto" w:fill="auto"/>
            <w:noWrap/>
            <w:vAlign w:val="bottom"/>
            <w:hideMark/>
          </w:tcPr>
          <w:p w14:paraId="62DFA672" w14:textId="167110E8" w:rsidR="009F266C" w:rsidRPr="0027082E" w:rsidRDefault="009F266C" w:rsidP="009F266C">
            <w:pPr>
              <w:jc w:val="center"/>
            </w:pPr>
            <w:r w:rsidRPr="0027082E">
              <w:t>3</w:t>
            </w:r>
          </w:p>
        </w:tc>
      </w:tr>
      <w:tr w:rsidR="00B63203" w:rsidRPr="0027082E" w14:paraId="6FCDB8CA" w14:textId="77777777" w:rsidTr="00C678B7">
        <w:trPr>
          <w:trHeight w:val="351"/>
        </w:trPr>
        <w:tc>
          <w:tcPr>
            <w:tcW w:w="704" w:type="dxa"/>
            <w:vMerge/>
            <w:vAlign w:val="center"/>
          </w:tcPr>
          <w:p w14:paraId="03E4A6C2" w14:textId="77777777" w:rsidR="009F266C" w:rsidRPr="0027082E" w:rsidRDefault="009F266C" w:rsidP="009F266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75DE0E08" w14:textId="77777777" w:rsidR="009F266C" w:rsidRPr="0027082E" w:rsidRDefault="009F266C" w:rsidP="009F26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62CD3387" w14:textId="77777777" w:rsidR="009F266C" w:rsidRPr="0027082E" w:rsidRDefault="009F266C" w:rsidP="009F266C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753EAE29" w14:textId="41F69969" w:rsidR="009F266C" w:rsidRPr="0027082E" w:rsidRDefault="00BF3D15" w:rsidP="009F266C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F266C" w:rsidRPr="0027082E">
              <w:rPr>
                <w:color w:val="000000"/>
              </w:rPr>
              <w:t>емає залишків за депозитами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00AC5F39" w14:textId="1F4E14A3" w:rsidR="009F266C" w:rsidRPr="0027082E" w:rsidRDefault="009F266C" w:rsidP="009F266C">
            <w:pPr>
              <w:jc w:val="center"/>
            </w:pPr>
            <w:r w:rsidRPr="0027082E">
              <w:t>4</w:t>
            </w:r>
          </w:p>
        </w:tc>
      </w:tr>
      <w:tr w:rsidR="00B63203" w:rsidRPr="0027082E" w14:paraId="38F9935D" w14:textId="77777777" w:rsidTr="00C678B7">
        <w:trPr>
          <w:trHeight w:val="351"/>
        </w:trPr>
        <w:tc>
          <w:tcPr>
            <w:tcW w:w="704" w:type="dxa"/>
            <w:vMerge w:val="restart"/>
            <w:vAlign w:val="center"/>
          </w:tcPr>
          <w:p w14:paraId="4237083B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14:paraId="5443A58F" w14:textId="77777777" w:rsidR="00ED4DB2" w:rsidRPr="0027082E" w:rsidRDefault="00ED4DB2" w:rsidP="00F45C97">
            <w:pPr>
              <w:rPr>
                <w:color w:val="000000"/>
              </w:rPr>
            </w:pPr>
            <w:r w:rsidRPr="0027082E">
              <w:rPr>
                <w:color w:val="000000"/>
              </w:rPr>
              <w:t>Кількість членів кредитної спілки (осіб)</w:t>
            </w:r>
          </w:p>
        </w:tc>
        <w:tc>
          <w:tcPr>
            <w:tcW w:w="1276" w:type="dxa"/>
            <w:vMerge w:val="restart"/>
            <w:vAlign w:val="center"/>
          </w:tcPr>
          <w:p w14:paraId="42334EE4" w14:textId="77777777" w:rsidR="00ED4DB2" w:rsidRPr="0027082E" w:rsidRDefault="00ED4DB2" w:rsidP="00F45C97">
            <w:pPr>
              <w:rPr>
                <w:color w:val="000000"/>
              </w:rPr>
            </w:pPr>
            <w:r w:rsidRPr="0027082E">
              <w:rPr>
                <w:color w:val="000000"/>
              </w:rPr>
              <w:t xml:space="preserve">      10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456668E7" w14:textId="797FAB6A" w:rsidR="00ED4DB2" w:rsidRPr="0027082E" w:rsidRDefault="00BF3D15" w:rsidP="00F45C9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D4DB2" w:rsidRPr="0027082E">
              <w:rPr>
                <w:color w:val="000000"/>
              </w:rPr>
              <w:t>ід 5</w:t>
            </w:r>
            <w:r w:rsidR="0076587B">
              <w:rPr>
                <w:color w:val="000000"/>
              </w:rPr>
              <w:t> </w:t>
            </w:r>
            <w:r w:rsidR="00ED4DB2" w:rsidRPr="0027082E">
              <w:rPr>
                <w:color w:val="000000"/>
              </w:rPr>
              <w:t>000 (включно) і більше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04D34B3A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1</w:t>
            </w:r>
          </w:p>
        </w:tc>
      </w:tr>
      <w:tr w:rsidR="00B63203" w:rsidRPr="0027082E" w14:paraId="3F4F9F8E" w14:textId="77777777" w:rsidTr="00C678B7">
        <w:trPr>
          <w:trHeight w:val="351"/>
        </w:trPr>
        <w:tc>
          <w:tcPr>
            <w:tcW w:w="704" w:type="dxa"/>
            <w:vMerge/>
            <w:vAlign w:val="center"/>
          </w:tcPr>
          <w:p w14:paraId="59971F77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159EF96A" w14:textId="77777777" w:rsidR="00ED4DB2" w:rsidRPr="0027082E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0ED3218A" w14:textId="77777777" w:rsidR="00ED4DB2" w:rsidRPr="0027082E" w:rsidRDefault="00ED4DB2" w:rsidP="00F45C97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54BA704A" w14:textId="4DFBC3B3" w:rsidR="00ED4DB2" w:rsidRPr="0027082E" w:rsidRDefault="00BF3D15" w:rsidP="00F45C9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D4DB2" w:rsidRPr="0027082E">
              <w:rPr>
                <w:color w:val="000000"/>
              </w:rPr>
              <w:t>ід 1</w:t>
            </w:r>
            <w:r w:rsidR="0076587B">
              <w:rPr>
                <w:color w:val="000000"/>
              </w:rPr>
              <w:t> </w:t>
            </w:r>
            <w:r w:rsidR="00ED4DB2" w:rsidRPr="0027082E">
              <w:rPr>
                <w:color w:val="000000"/>
              </w:rPr>
              <w:t>000 (включно) до 5</w:t>
            </w:r>
            <w:r w:rsidR="0076587B">
              <w:rPr>
                <w:color w:val="000000"/>
              </w:rPr>
              <w:t> </w:t>
            </w:r>
            <w:r w:rsidR="00ED4DB2" w:rsidRPr="0027082E">
              <w:rPr>
                <w:color w:val="000000"/>
              </w:rPr>
              <w:t>000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0F72B9D3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2</w:t>
            </w:r>
          </w:p>
        </w:tc>
      </w:tr>
      <w:tr w:rsidR="00B63203" w:rsidRPr="0027082E" w14:paraId="38400D06" w14:textId="77777777" w:rsidTr="00C678B7">
        <w:trPr>
          <w:trHeight w:val="351"/>
        </w:trPr>
        <w:tc>
          <w:tcPr>
            <w:tcW w:w="704" w:type="dxa"/>
            <w:vMerge/>
            <w:vAlign w:val="center"/>
          </w:tcPr>
          <w:p w14:paraId="6CA8E47F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2652DB24" w14:textId="77777777" w:rsidR="00ED4DB2" w:rsidRPr="0027082E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53ADC96C" w14:textId="77777777" w:rsidR="00ED4DB2" w:rsidRPr="0027082E" w:rsidRDefault="00ED4DB2" w:rsidP="00F45C97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4D1509CD" w14:textId="63999283" w:rsidR="00ED4DB2" w:rsidRPr="0027082E" w:rsidRDefault="00BF3D15" w:rsidP="00F45C9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D4DB2" w:rsidRPr="0027082E">
              <w:rPr>
                <w:color w:val="000000"/>
              </w:rPr>
              <w:t>ід 500 (включно) до 1</w:t>
            </w:r>
            <w:r w:rsidR="0076587B">
              <w:rPr>
                <w:color w:val="000000"/>
              </w:rPr>
              <w:t> </w:t>
            </w:r>
            <w:r w:rsidR="00ED4DB2" w:rsidRPr="0027082E">
              <w:rPr>
                <w:color w:val="000000"/>
              </w:rPr>
              <w:t>000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3B25E7F2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3</w:t>
            </w:r>
          </w:p>
        </w:tc>
      </w:tr>
      <w:tr w:rsidR="00B63203" w:rsidRPr="0027082E" w14:paraId="71147BE5" w14:textId="77777777" w:rsidTr="00C678B7">
        <w:trPr>
          <w:trHeight w:val="351"/>
        </w:trPr>
        <w:tc>
          <w:tcPr>
            <w:tcW w:w="704" w:type="dxa"/>
            <w:vMerge/>
            <w:vAlign w:val="center"/>
          </w:tcPr>
          <w:p w14:paraId="0C407E6B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213E7D2E" w14:textId="77777777" w:rsidR="00ED4DB2" w:rsidRPr="0027082E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75550AED" w14:textId="77777777" w:rsidR="00ED4DB2" w:rsidRPr="0027082E" w:rsidRDefault="00ED4DB2" w:rsidP="00F45C97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5A910F4C" w14:textId="209AC429" w:rsidR="00ED4DB2" w:rsidRPr="0027082E" w:rsidRDefault="00BF3D15" w:rsidP="00F45C97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D4DB2" w:rsidRPr="0027082E">
              <w:rPr>
                <w:color w:val="000000"/>
              </w:rPr>
              <w:t>о 500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0A04B15A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4</w:t>
            </w:r>
          </w:p>
        </w:tc>
      </w:tr>
      <w:tr w:rsidR="00B63203" w:rsidRPr="0027082E" w14:paraId="06CCAC01" w14:textId="77777777" w:rsidTr="00C678B7">
        <w:trPr>
          <w:trHeight w:val="300"/>
        </w:trPr>
        <w:tc>
          <w:tcPr>
            <w:tcW w:w="704" w:type="dxa"/>
            <w:vMerge w:val="restart"/>
            <w:vAlign w:val="center"/>
          </w:tcPr>
          <w:p w14:paraId="39E1F4DB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14:paraId="2C7B485B" w14:textId="77777777" w:rsidR="00ED4DB2" w:rsidRPr="0027082E" w:rsidRDefault="00ED4DB2" w:rsidP="00F45C97">
            <w:pPr>
              <w:rPr>
                <w:color w:val="000000"/>
              </w:rPr>
            </w:pPr>
            <w:r w:rsidRPr="0027082E">
              <w:rPr>
                <w:color w:val="000000"/>
              </w:rPr>
              <w:t>Розгалуженість мережі кредитної спілки (кількість відокремлених підрозділів) (одиниць)</w:t>
            </w:r>
          </w:p>
        </w:tc>
        <w:tc>
          <w:tcPr>
            <w:tcW w:w="1276" w:type="dxa"/>
            <w:vMerge w:val="restart"/>
            <w:vAlign w:val="center"/>
          </w:tcPr>
          <w:p w14:paraId="4EA31649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619ACD3A" w14:textId="017C9A5C" w:rsidR="00ED4DB2" w:rsidRPr="0027082E" w:rsidRDefault="00BF3D15" w:rsidP="00F45C9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D4DB2" w:rsidRPr="0027082E">
              <w:rPr>
                <w:color w:val="000000"/>
              </w:rPr>
              <w:t>ід 10 (включно) і більше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0AC01AB1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1</w:t>
            </w:r>
          </w:p>
        </w:tc>
      </w:tr>
      <w:tr w:rsidR="00B63203" w:rsidRPr="0027082E" w14:paraId="6502BF24" w14:textId="77777777" w:rsidTr="00C678B7">
        <w:trPr>
          <w:trHeight w:val="300"/>
        </w:trPr>
        <w:tc>
          <w:tcPr>
            <w:tcW w:w="704" w:type="dxa"/>
            <w:vMerge/>
            <w:vAlign w:val="center"/>
          </w:tcPr>
          <w:p w14:paraId="74EF6293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1EA594CB" w14:textId="77777777" w:rsidR="00ED4DB2" w:rsidRPr="0027082E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5149FF18" w14:textId="77777777" w:rsidR="00ED4DB2" w:rsidRPr="0027082E" w:rsidRDefault="00ED4DB2" w:rsidP="00F45C97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1ECC2346" w14:textId="67C476BC" w:rsidR="00ED4DB2" w:rsidRPr="0027082E" w:rsidRDefault="00BF3D15" w:rsidP="00F45C9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D4DB2" w:rsidRPr="0027082E">
              <w:rPr>
                <w:color w:val="000000"/>
              </w:rPr>
              <w:t xml:space="preserve">ід 5 (включно) до 10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1871E8F5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2</w:t>
            </w:r>
          </w:p>
        </w:tc>
      </w:tr>
      <w:tr w:rsidR="00B63203" w:rsidRPr="0027082E" w14:paraId="26FD8A20" w14:textId="77777777" w:rsidTr="00C678B7">
        <w:trPr>
          <w:trHeight w:val="300"/>
        </w:trPr>
        <w:tc>
          <w:tcPr>
            <w:tcW w:w="704" w:type="dxa"/>
            <w:vMerge/>
            <w:vAlign w:val="center"/>
          </w:tcPr>
          <w:p w14:paraId="356BB480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7FF865F7" w14:textId="77777777" w:rsidR="00ED4DB2" w:rsidRPr="0027082E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776CC244" w14:textId="77777777" w:rsidR="00ED4DB2" w:rsidRPr="0027082E" w:rsidRDefault="00ED4DB2" w:rsidP="00F45C97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2265AF8E" w14:textId="743CFA20" w:rsidR="00ED4DB2" w:rsidRPr="0027082E" w:rsidRDefault="00BF3D15" w:rsidP="00F45C97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ED4DB2" w:rsidRPr="0027082E">
              <w:rPr>
                <w:color w:val="000000"/>
              </w:rPr>
              <w:t xml:space="preserve">ід 1 до 5 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320C9003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3</w:t>
            </w:r>
          </w:p>
        </w:tc>
      </w:tr>
      <w:tr w:rsidR="00B63203" w:rsidRPr="0027082E" w14:paraId="0C66625C" w14:textId="77777777" w:rsidTr="00C678B7">
        <w:trPr>
          <w:trHeight w:val="300"/>
        </w:trPr>
        <w:tc>
          <w:tcPr>
            <w:tcW w:w="704" w:type="dxa"/>
            <w:vMerge/>
            <w:vAlign w:val="center"/>
          </w:tcPr>
          <w:p w14:paraId="67A8A897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14:paraId="4C58A72F" w14:textId="77777777" w:rsidR="00ED4DB2" w:rsidRPr="0027082E" w:rsidRDefault="00ED4DB2" w:rsidP="00F45C9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0012995C" w14:textId="77777777" w:rsidR="00ED4DB2" w:rsidRPr="0027082E" w:rsidRDefault="00ED4DB2" w:rsidP="00F45C97">
            <w:pPr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noWrap/>
            <w:vAlign w:val="bottom"/>
          </w:tcPr>
          <w:p w14:paraId="64920562" w14:textId="7CB85729" w:rsidR="00ED4DB2" w:rsidRPr="0027082E" w:rsidRDefault="00BF3D15" w:rsidP="00F45C97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D4DB2" w:rsidRPr="0027082E">
              <w:rPr>
                <w:color w:val="000000"/>
              </w:rPr>
              <w:t>емає відокремлених підрозділів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14:paraId="50E56BD3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4</w:t>
            </w:r>
          </w:p>
        </w:tc>
      </w:tr>
    </w:tbl>
    <w:p w14:paraId="4ED81BB1" w14:textId="77777777" w:rsidR="00ED4DB2" w:rsidRPr="0027082E" w:rsidRDefault="00ED4DB2" w:rsidP="00ED4DB2">
      <w:pPr>
        <w:rPr>
          <w:color w:val="000000"/>
          <w:sz w:val="24"/>
          <w:szCs w:val="24"/>
        </w:rPr>
      </w:pPr>
    </w:p>
    <w:p w14:paraId="7E6777A4" w14:textId="2AA047F1" w:rsidR="00C60EA6" w:rsidRDefault="00ED4DB2" w:rsidP="00C60EA6">
      <w:pPr>
        <w:ind w:firstLine="851"/>
        <w:jc w:val="center"/>
      </w:pPr>
      <w:r w:rsidRPr="0027082E">
        <w:t>Пояснення до критеріїв для визначення суспільної важливості кредитної спілки</w:t>
      </w:r>
    </w:p>
    <w:p w14:paraId="61F4ADDC" w14:textId="77777777" w:rsidR="001F28FF" w:rsidRPr="0027082E" w:rsidRDefault="001F28FF" w:rsidP="00C60EA6">
      <w:pPr>
        <w:ind w:firstLine="851"/>
        <w:jc w:val="center"/>
      </w:pPr>
    </w:p>
    <w:p w14:paraId="6B9ACE76" w14:textId="0CAA5A4D" w:rsidR="00ED4DB2" w:rsidRPr="0027082E" w:rsidRDefault="00ED4DB2" w:rsidP="00C678B7">
      <w:pPr>
        <w:pStyle w:val="af3"/>
        <w:numPr>
          <w:ilvl w:val="0"/>
          <w:numId w:val="33"/>
        </w:numPr>
        <w:tabs>
          <w:tab w:val="left" w:pos="284"/>
        </w:tabs>
        <w:ind w:left="0" w:firstLine="567"/>
      </w:pPr>
      <w:r w:rsidRPr="0027082E">
        <w:rPr>
          <w:color w:val="000000"/>
        </w:rPr>
        <w:t xml:space="preserve">Кредитній спілці не присвоюється рівень суспільної важливості, якщо балансова вартість активів кредитної спілки не перевищує </w:t>
      </w:r>
      <w:r w:rsidR="007D354D" w:rsidRPr="0027082E">
        <w:rPr>
          <w:color w:val="000000"/>
        </w:rPr>
        <w:t xml:space="preserve">5 </w:t>
      </w:r>
      <w:r w:rsidRPr="0027082E">
        <w:rPr>
          <w:color w:val="000000"/>
        </w:rPr>
        <w:t>млн грн та в такої кредитної спілки немає ліцензії на залучення фінансових активів із зобов’язанням щодо їх повернення</w:t>
      </w:r>
      <w:r w:rsidRPr="0096264D">
        <w:rPr>
          <w:color w:val="000000"/>
        </w:rPr>
        <w:t>.</w:t>
      </w:r>
      <w:r w:rsidR="00792E1B" w:rsidRPr="0096264D">
        <w:rPr>
          <w:color w:val="000000"/>
        </w:rPr>
        <w:t xml:space="preserve"> </w:t>
      </w:r>
      <w:r w:rsidR="0096264D" w:rsidRPr="0096264D">
        <w:rPr>
          <w:color w:val="000000"/>
        </w:rPr>
        <w:t>За такими кредитними спілками Національний банк здійснює безвиїзний нагляд.</w:t>
      </w:r>
    </w:p>
    <w:p w14:paraId="2CEF6B12" w14:textId="77777777" w:rsidR="00ED4DB2" w:rsidRPr="0027082E" w:rsidRDefault="00ED4DB2" w:rsidP="00ED4DB2">
      <w:pPr>
        <w:ind w:firstLine="851"/>
      </w:pPr>
    </w:p>
    <w:p w14:paraId="77EB6215" w14:textId="77777777" w:rsidR="00ED4DB2" w:rsidRPr="0027082E" w:rsidRDefault="00ED4DB2" w:rsidP="00ED4DB2">
      <w:pPr>
        <w:sectPr w:rsidR="00ED4DB2" w:rsidRPr="0027082E" w:rsidSect="00197BFA">
          <w:headerReference w:type="default" r:id="rId21"/>
          <w:pgSz w:w="11906" w:h="16838"/>
          <w:pgMar w:top="567" w:right="567" w:bottom="1701" w:left="1701" w:header="709" w:footer="709" w:gutter="0"/>
          <w:pgNumType w:start="1"/>
          <w:cols w:space="708"/>
          <w:titlePg/>
          <w:docGrid w:linePitch="360"/>
        </w:sectPr>
      </w:pPr>
    </w:p>
    <w:p w14:paraId="1C1EC9F3" w14:textId="77777777" w:rsidR="00ED4DB2" w:rsidRPr="0027082E" w:rsidRDefault="00ED4DB2" w:rsidP="00ED4DB2">
      <w:pPr>
        <w:pStyle w:val="af3"/>
        <w:tabs>
          <w:tab w:val="left" w:pos="4820"/>
        </w:tabs>
        <w:ind w:left="4961"/>
      </w:pPr>
      <w:r w:rsidRPr="0027082E">
        <w:lastRenderedPageBreak/>
        <w:t>Додаток 6</w:t>
      </w:r>
    </w:p>
    <w:p w14:paraId="64362EBD" w14:textId="3E79EEAE" w:rsidR="00ED4DB2" w:rsidRPr="0027082E" w:rsidRDefault="00ED4DB2" w:rsidP="00ED4DB2">
      <w:pPr>
        <w:keepNext/>
        <w:ind w:left="4961"/>
        <w:outlineLvl w:val="2"/>
        <w:rPr>
          <w:b/>
          <w:bCs/>
          <w:color w:val="000000"/>
        </w:rPr>
      </w:pPr>
      <w:r w:rsidRPr="0027082E">
        <w:t xml:space="preserve">до </w:t>
      </w:r>
      <w:r w:rsidRPr="0027082E">
        <w:rPr>
          <w:bCs/>
          <w:color w:val="000000"/>
        </w:rPr>
        <w:t>Положення про встановлення критеріїв, за якими оцінюється ступінь ризику від здійснення діяльності учасниками ринку небанківських</w:t>
      </w:r>
      <w:r w:rsidR="005D4741">
        <w:rPr>
          <w:bCs/>
          <w:color w:val="000000"/>
        </w:rPr>
        <w:t xml:space="preserve"> фінансових послуг, їх суспільна</w:t>
      </w:r>
      <w:r w:rsidRPr="0027082E">
        <w:rPr>
          <w:bCs/>
          <w:color w:val="000000"/>
        </w:rPr>
        <w:t xml:space="preserve"> важливість</w:t>
      </w:r>
    </w:p>
    <w:p w14:paraId="0DAC0319" w14:textId="5172C1DB" w:rsidR="00ED4DB2" w:rsidRDefault="00ED4DB2" w:rsidP="00ED4DB2">
      <w:pPr>
        <w:tabs>
          <w:tab w:val="left" w:pos="4820"/>
        </w:tabs>
        <w:ind w:left="4962"/>
      </w:pPr>
      <w:r w:rsidRPr="0027082E">
        <w:t xml:space="preserve">(пункт </w:t>
      </w:r>
      <w:r w:rsidR="0063305B">
        <w:t>21</w:t>
      </w:r>
      <w:r w:rsidR="0063305B" w:rsidRPr="0027082E">
        <w:t xml:space="preserve"> </w:t>
      </w:r>
      <w:r w:rsidRPr="0027082E">
        <w:t>розділу II)</w:t>
      </w:r>
    </w:p>
    <w:p w14:paraId="2F77EAAB" w14:textId="77777777" w:rsidR="0063305B" w:rsidRPr="0027082E" w:rsidRDefault="0063305B" w:rsidP="00ED4DB2">
      <w:pPr>
        <w:tabs>
          <w:tab w:val="left" w:pos="4820"/>
        </w:tabs>
        <w:ind w:left="4962"/>
      </w:pPr>
    </w:p>
    <w:p w14:paraId="1AFF81EB" w14:textId="1C78C250" w:rsidR="00ED4DB2" w:rsidRDefault="00ED4DB2" w:rsidP="00ED4DB2">
      <w:pPr>
        <w:jc w:val="center"/>
        <w:rPr>
          <w:bCs/>
          <w:color w:val="000000"/>
          <w:shd w:val="clear" w:color="auto" w:fill="FFFFFF"/>
        </w:rPr>
      </w:pPr>
      <w:r w:rsidRPr="0027082E">
        <w:rPr>
          <w:color w:val="000000"/>
        </w:rPr>
        <w:t>Критерії для визначення суспільної важливості фінансової компанії</w:t>
      </w:r>
      <w:r w:rsidRPr="0027082E">
        <w:rPr>
          <w:bCs/>
          <w:color w:val="000000"/>
          <w:shd w:val="clear" w:color="auto" w:fill="FFFFFF"/>
        </w:rPr>
        <w:t>, лізингодавця, ломбарду</w:t>
      </w:r>
      <w:r w:rsidR="001D18BD" w:rsidRPr="0027082E">
        <w:rPr>
          <w:bCs/>
          <w:color w:val="000000"/>
          <w:shd w:val="clear" w:color="auto" w:fill="FFFFFF"/>
        </w:rPr>
        <w:t xml:space="preserve"> (який є учасником</w:t>
      </w:r>
      <w:r w:rsidR="00C4762A" w:rsidRPr="0027082E">
        <w:rPr>
          <w:bCs/>
          <w:color w:val="000000"/>
          <w:shd w:val="clear" w:color="auto" w:fill="FFFFFF"/>
        </w:rPr>
        <w:t xml:space="preserve"> </w:t>
      </w:r>
      <w:r w:rsidR="00423EC7" w:rsidRPr="0027082E">
        <w:rPr>
          <w:bCs/>
          <w:color w:val="000000"/>
          <w:shd w:val="clear" w:color="auto" w:fill="FFFFFF"/>
        </w:rPr>
        <w:t>/</w:t>
      </w:r>
      <w:r w:rsidR="001D18BD" w:rsidRPr="0027082E">
        <w:rPr>
          <w:bCs/>
          <w:color w:val="000000"/>
          <w:shd w:val="clear" w:color="auto" w:fill="FFFFFF"/>
        </w:rPr>
        <w:t xml:space="preserve"> відповідальною особою фінансової групи)</w:t>
      </w:r>
    </w:p>
    <w:p w14:paraId="72699EE6" w14:textId="77777777" w:rsidR="005D4741" w:rsidRPr="0027082E" w:rsidRDefault="005D4741" w:rsidP="00ED4DB2">
      <w:pPr>
        <w:jc w:val="center"/>
        <w:rPr>
          <w:bCs/>
          <w:strike/>
          <w:color w:val="000000"/>
          <w:shd w:val="clear" w:color="auto" w:fill="FFFFFF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98"/>
        <w:gridCol w:w="5114"/>
        <w:gridCol w:w="2082"/>
        <w:gridCol w:w="1540"/>
      </w:tblGrid>
      <w:tr w:rsidR="00ED4DB2" w:rsidRPr="0027082E" w14:paraId="4F921775" w14:textId="77777777" w:rsidTr="00C739AD">
        <w:tc>
          <w:tcPr>
            <w:tcW w:w="698" w:type="dxa"/>
            <w:vAlign w:val="center"/>
          </w:tcPr>
          <w:p w14:paraId="5727D1D0" w14:textId="77777777" w:rsidR="00ED4DB2" w:rsidRPr="0027082E" w:rsidRDefault="00ED4DB2" w:rsidP="00C739AD">
            <w:pPr>
              <w:jc w:val="center"/>
            </w:pPr>
            <w:r w:rsidRPr="0027082E">
              <w:t>№</w:t>
            </w:r>
          </w:p>
          <w:p w14:paraId="2DA8F04E" w14:textId="77777777" w:rsidR="00ED4DB2" w:rsidRPr="0027082E" w:rsidRDefault="00ED4DB2" w:rsidP="00C739AD">
            <w:pPr>
              <w:jc w:val="center"/>
            </w:pPr>
            <w:r w:rsidRPr="0027082E">
              <w:t>з/п</w:t>
            </w:r>
          </w:p>
        </w:tc>
        <w:tc>
          <w:tcPr>
            <w:tcW w:w="5114" w:type="dxa"/>
            <w:vAlign w:val="center"/>
          </w:tcPr>
          <w:p w14:paraId="4517AEB6" w14:textId="77777777" w:rsidR="00ED4DB2" w:rsidRPr="0027082E" w:rsidRDefault="00ED4DB2" w:rsidP="00C739AD">
            <w:pPr>
              <w:jc w:val="center"/>
            </w:pPr>
            <w:r w:rsidRPr="0027082E">
              <w:rPr>
                <w:color w:val="000000"/>
              </w:rPr>
              <w:t>Показники розподілу</w:t>
            </w:r>
          </w:p>
        </w:tc>
        <w:tc>
          <w:tcPr>
            <w:tcW w:w="2082" w:type="dxa"/>
            <w:vAlign w:val="center"/>
          </w:tcPr>
          <w:p w14:paraId="389655CF" w14:textId="2E573846" w:rsidR="00ED4DB2" w:rsidRPr="0027082E" w:rsidRDefault="00ED4DB2" w:rsidP="00C739AD">
            <w:pPr>
              <w:jc w:val="center"/>
            </w:pPr>
            <w:r w:rsidRPr="0027082E">
              <w:t>Вага показника,</w:t>
            </w:r>
            <w:r w:rsidR="00BF3D15">
              <w:t xml:space="preserve"> </w:t>
            </w:r>
            <w:r w:rsidRPr="0027082E">
              <w:t>%</w:t>
            </w:r>
          </w:p>
        </w:tc>
        <w:tc>
          <w:tcPr>
            <w:tcW w:w="1540" w:type="dxa"/>
            <w:vAlign w:val="center"/>
          </w:tcPr>
          <w:p w14:paraId="7A66A9EE" w14:textId="77777777" w:rsidR="00ED4DB2" w:rsidRPr="0027082E" w:rsidRDefault="00ED4DB2" w:rsidP="00C739AD">
            <w:pPr>
              <w:jc w:val="center"/>
            </w:pPr>
            <w:r w:rsidRPr="0027082E">
              <w:rPr>
                <w:color w:val="000000"/>
              </w:rPr>
              <w:t>Суспільна важливість</w:t>
            </w:r>
            <w:r w:rsidRPr="0027082E">
              <w:rPr>
                <w:color w:val="000000"/>
              </w:rPr>
              <w:br/>
              <w:t>(групи)</w:t>
            </w:r>
          </w:p>
        </w:tc>
      </w:tr>
    </w:tbl>
    <w:p w14:paraId="329AB10E" w14:textId="77777777" w:rsidR="00ED4DB2" w:rsidRPr="0027082E" w:rsidRDefault="00ED4DB2" w:rsidP="00ED4DB2">
      <w:pPr>
        <w:rPr>
          <w:sz w:val="2"/>
        </w:rPr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698"/>
        <w:gridCol w:w="5114"/>
        <w:gridCol w:w="2082"/>
        <w:gridCol w:w="1540"/>
      </w:tblGrid>
      <w:tr w:rsidR="00ED4DB2" w:rsidRPr="0027082E" w14:paraId="703D6CB5" w14:textId="77777777" w:rsidTr="00F45C97">
        <w:trPr>
          <w:tblHeader/>
        </w:trPr>
        <w:tc>
          <w:tcPr>
            <w:tcW w:w="698" w:type="dxa"/>
          </w:tcPr>
          <w:p w14:paraId="73873FD9" w14:textId="77777777" w:rsidR="00ED4DB2" w:rsidRPr="0027082E" w:rsidRDefault="00ED4DB2" w:rsidP="00F45C97">
            <w:pPr>
              <w:jc w:val="center"/>
            </w:pPr>
            <w:r w:rsidRPr="0027082E">
              <w:t>1</w:t>
            </w:r>
          </w:p>
        </w:tc>
        <w:tc>
          <w:tcPr>
            <w:tcW w:w="5114" w:type="dxa"/>
          </w:tcPr>
          <w:p w14:paraId="26A958E7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2</w:t>
            </w:r>
          </w:p>
        </w:tc>
        <w:tc>
          <w:tcPr>
            <w:tcW w:w="2082" w:type="dxa"/>
          </w:tcPr>
          <w:p w14:paraId="49C44D24" w14:textId="77777777" w:rsidR="00ED4DB2" w:rsidRPr="0027082E" w:rsidRDefault="00ED4DB2" w:rsidP="00F45C97">
            <w:pPr>
              <w:jc w:val="center"/>
            </w:pPr>
            <w:r w:rsidRPr="0027082E">
              <w:t>3</w:t>
            </w:r>
          </w:p>
        </w:tc>
        <w:tc>
          <w:tcPr>
            <w:tcW w:w="1540" w:type="dxa"/>
          </w:tcPr>
          <w:p w14:paraId="0AD032E7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4</w:t>
            </w:r>
          </w:p>
        </w:tc>
      </w:tr>
      <w:tr w:rsidR="00CC03E6" w:rsidRPr="0027082E" w14:paraId="4C0DA45A" w14:textId="77777777" w:rsidTr="006F6712">
        <w:tc>
          <w:tcPr>
            <w:tcW w:w="698" w:type="dxa"/>
          </w:tcPr>
          <w:p w14:paraId="70F1ABC9" w14:textId="77777777" w:rsidR="00CC03E6" w:rsidRPr="0027082E" w:rsidRDefault="00CC03E6" w:rsidP="006F6712">
            <w:pPr>
              <w:jc w:val="center"/>
            </w:pPr>
            <w:r w:rsidRPr="0027082E">
              <w:t>1</w:t>
            </w:r>
          </w:p>
        </w:tc>
        <w:tc>
          <w:tcPr>
            <w:tcW w:w="5114" w:type="dxa"/>
          </w:tcPr>
          <w:p w14:paraId="025820DB" w14:textId="4DE68BAE" w:rsidR="00CC03E6" w:rsidRPr="0027082E" w:rsidRDefault="00CC03E6" w:rsidP="006F6712">
            <w:pPr>
              <w:ind w:firstLine="295"/>
            </w:pPr>
            <w:r w:rsidRPr="0027082E">
              <w:t xml:space="preserve">Учаснику присвоюється перша група суспільної важливості, якщо </w:t>
            </w:r>
            <w:r w:rsidR="00E54359" w:rsidRPr="0027082E">
              <w:t>він</w:t>
            </w:r>
            <w:r w:rsidRPr="0027082E">
              <w:t xml:space="preserve"> відповідає одному та/або кільком показникам: </w:t>
            </w:r>
          </w:p>
          <w:p w14:paraId="09F11527" w14:textId="5CA825C2" w:rsidR="00CC03E6" w:rsidRPr="0027082E" w:rsidRDefault="00CC03E6" w:rsidP="00CC03E6">
            <w:pPr>
              <w:pStyle w:val="af3"/>
              <w:numPr>
                <w:ilvl w:val="0"/>
                <w:numId w:val="19"/>
              </w:numPr>
              <w:spacing w:before="120" w:after="120"/>
              <w:ind w:left="35" w:firstLine="325"/>
              <w:contextualSpacing w:val="0"/>
            </w:pPr>
            <w:r w:rsidRPr="0027082E">
              <w:t xml:space="preserve">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учасник вида</w:t>
            </w:r>
            <w:r w:rsidR="0045706F">
              <w:t>в</w:t>
            </w:r>
            <w:r w:rsidRPr="0027082E">
              <w:t xml:space="preserve"> гарантії, обсяг яких на ринку становив 40% та більше від загального обсягу таких послуг, наданих усіма учасниками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>;</w:t>
            </w:r>
          </w:p>
          <w:p w14:paraId="28E9AC1D" w14:textId="09817B75" w:rsidR="00CC03E6" w:rsidRPr="0027082E" w:rsidRDefault="00CC03E6" w:rsidP="00CC03E6">
            <w:pPr>
              <w:pStyle w:val="af3"/>
              <w:numPr>
                <w:ilvl w:val="0"/>
                <w:numId w:val="19"/>
              </w:numPr>
              <w:spacing w:before="120" w:after="120"/>
              <w:ind w:left="0" w:firstLine="283"/>
              <w:contextualSpacing w:val="0"/>
            </w:pPr>
            <w:r w:rsidRPr="0027082E">
              <w:t xml:space="preserve">обсяг операцій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на ринку фінансового лізингу </w:t>
            </w:r>
            <w:r w:rsidR="00B90D2D" w:rsidRPr="0027082E">
              <w:t>(</w:t>
            </w:r>
            <w:r w:rsidRPr="0027082E">
              <w:t>лізингодавцями</w:t>
            </w:r>
            <w:r w:rsidR="00B90D2D" w:rsidRPr="0027082E">
              <w:t>)</w:t>
            </w:r>
            <w:r w:rsidRPr="0027082E">
              <w:t xml:space="preserve"> становив 40% та більше від загального обсягу таких послуг, наданих лізингодавцями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>;</w:t>
            </w:r>
          </w:p>
          <w:p w14:paraId="277CAE1B" w14:textId="5E6327AF" w:rsidR="00CC03E6" w:rsidRPr="0027082E" w:rsidRDefault="00CC03E6" w:rsidP="00CC03E6">
            <w:pPr>
              <w:pStyle w:val="af3"/>
              <w:numPr>
                <w:ilvl w:val="0"/>
                <w:numId w:val="19"/>
              </w:numPr>
              <w:spacing w:before="120" w:after="120"/>
              <w:ind w:left="0" w:firstLine="283"/>
              <w:contextualSpacing w:val="0"/>
            </w:pPr>
            <w:r w:rsidRPr="0027082E">
              <w:t xml:space="preserve">обсяг операцій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на ринку фінансового лізингу фінансовими компаніями становив 40% та більше від загального обсягу таких послуг, наданих фінансовими компаніями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>;</w:t>
            </w:r>
          </w:p>
          <w:p w14:paraId="75300A86" w14:textId="77777777" w:rsidR="00CC03E6" w:rsidRPr="0027082E" w:rsidRDefault="00CC03E6" w:rsidP="00CC03E6">
            <w:pPr>
              <w:pStyle w:val="af3"/>
              <w:numPr>
                <w:ilvl w:val="0"/>
                <w:numId w:val="19"/>
              </w:numPr>
              <w:spacing w:before="120" w:after="120"/>
              <w:ind w:left="0" w:firstLine="283"/>
              <w:contextualSpacing w:val="0"/>
            </w:pPr>
            <w:r w:rsidRPr="0027082E">
              <w:t xml:space="preserve">обсяг операцій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на ринку факторингу становив 10% та більше від загального </w:t>
            </w:r>
            <w:r w:rsidRPr="0027082E">
              <w:lastRenderedPageBreak/>
              <w:t xml:space="preserve">обсягу таких послуг, наданих усіма учасниками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>;</w:t>
            </w:r>
          </w:p>
          <w:p w14:paraId="76068268" w14:textId="7F2E46D8" w:rsidR="00D82839" w:rsidRPr="0027082E" w:rsidRDefault="00CC03E6" w:rsidP="00D86AB0">
            <w:pPr>
              <w:pStyle w:val="af3"/>
              <w:numPr>
                <w:ilvl w:val="0"/>
                <w:numId w:val="19"/>
              </w:numPr>
              <w:spacing w:before="120" w:after="120"/>
              <w:ind w:left="0" w:firstLine="283"/>
              <w:contextualSpacing w:val="0"/>
            </w:pPr>
            <w:r w:rsidRPr="0027082E">
              <w:t xml:space="preserve">обсяг наданих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позик становив 10% та більше від загального обсягу позик, наданих усіма учасниками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="00C4762A" w:rsidRPr="0027082E">
              <w:rPr>
                <w:bCs/>
                <w:color w:val="000000"/>
                <w:shd w:val="clear" w:color="auto" w:fill="FFFFFF"/>
              </w:rPr>
              <w:t>;</w:t>
            </w:r>
          </w:p>
          <w:p w14:paraId="2C4BE04D" w14:textId="2D084930" w:rsidR="00B12505" w:rsidRPr="0027082E" w:rsidRDefault="00B12505" w:rsidP="00B12505">
            <w:pPr>
              <w:pStyle w:val="af3"/>
              <w:numPr>
                <w:ilvl w:val="0"/>
                <w:numId w:val="19"/>
              </w:numPr>
              <w:spacing w:before="120" w:after="120"/>
              <w:ind w:left="0" w:firstLine="283"/>
              <w:contextualSpacing w:val="0"/>
            </w:pPr>
            <w:r w:rsidRPr="0027082E">
              <w:rPr>
                <w:bCs/>
                <w:color w:val="000000"/>
                <w:shd w:val="clear" w:color="auto" w:fill="FFFFFF"/>
              </w:rPr>
              <w:t>обсяг виданих ломбардних кредитів станови</w:t>
            </w:r>
            <w:r w:rsidR="00C678B7">
              <w:rPr>
                <w:bCs/>
                <w:color w:val="000000"/>
                <w:shd w:val="clear" w:color="auto" w:fill="FFFFFF"/>
              </w:rPr>
              <w:t>в</w:t>
            </w:r>
            <w:r w:rsidRPr="0027082E">
              <w:rPr>
                <w:bCs/>
                <w:color w:val="000000"/>
                <w:shd w:val="clear" w:color="auto" w:fill="FFFFFF"/>
              </w:rPr>
              <w:t xml:space="preserve"> 3% </w:t>
            </w:r>
            <w:r w:rsidRPr="0027082E">
              <w:t xml:space="preserve">та більше від загального обсягу ломбардних кредитів, </w:t>
            </w:r>
            <w:r w:rsidR="00BF3D15">
              <w:t>ви</w:t>
            </w:r>
            <w:r w:rsidRPr="0027082E">
              <w:t xml:space="preserve">даних усіма ломбардами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="00BF3D15">
              <w:rPr>
                <w:bCs/>
                <w:color w:val="000000"/>
                <w:shd w:val="clear" w:color="auto" w:fill="FFFFFF"/>
              </w:rPr>
              <w:t>,</w:t>
            </w:r>
            <w:r w:rsidRPr="0027082E">
              <w:rPr>
                <w:bCs/>
                <w:color w:val="000000"/>
                <w:shd w:val="clear" w:color="auto" w:fill="FFFFFF"/>
              </w:rPr>
              <w:t xml:space="preserve"> за умови, що загальний обсяг виданих ломбардних кредитів </w:t>
            </w:r>
            <w:r w:rsidR="00BF3D15">
              <w:rPr>
                <w:bCs/>
                <w:color w:val="000000"/>
                <w:shd w:val="clear" w:color="auto" w:fill="FFFFFF"/>
              </w:rPr>
              <w:t>у</w:t>
            </w:r>
            <w:r w:rsidRPr="0027082E">
              <w:rPr>
                <w:bCs/>
                <w:color w:val="000000"/>
                <w:shd w:val="clear" w:color="auto" w:fill="FFFFFF"/>
              </w:rPr>
              <w:t xml:space="preserve">сіма учасниками небанківської фінансової групи, до якої </w:t>
            </w:r>
            <w:r w:rsidR="00BF3D15">
              <w:rPr>
                <w:bCs/>
                <w:color w:val="000000"/>
                <w:shd w:val="clear" w:color="auto" w:fill="FFFFFF"/>
              </w:rPr>
              <w:t>належить</w:t>
            </w:r>
            <w:r w:rsidR="00BF3D15" w:rsidRPr="0027082E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27082E">
              <w:rPr>
                <w:bCs/>
                <w:color w:val="000000"/>
                <w:shd w:val="clear" w:color="auto" w:fill="FFFFFF"/>
              </w:rPr>
              <w:t>ломбард,  становить 20% та більше</w:t>
            </w:r>
            <w:r w:rsidRPr="0027082E">
              <w:t xml:space="preserve"> від загального обсягу ломбардних кредитів, </w:t>
            </w:r>
            <w:r w:rsidR="0045706F">
              <w:t>ви</w:t>
            </w:r>
            <w:r w:rsidRPr="0027082E">
              <w:t xml:space="preserve">даних усіма ломбардами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</w:p>
          <w:p w14:paraId="4F10AE87" w14:textId="42E2132D" w:rsidR="00D86AB0" w:rsidRPr="0027082E" w:rsidRDefault="00D86AB0" w:rsidP="00C84198"/>
        </w:tc>
        <w:tc>
          <w:tcPr>
            <w:tcW w:w="2082" w:type="dxa"/>
          </w:tcPr>
          <w:p w14:paraId="4E044C3B" w14:textId="77777777" w:rsidR="00CC03E6" w:rsidRPr="0027082E" w:rsidRDefault="00CC03E6" w:rsidP="006F6712">
            <w:pPr>
              <w:jc w:val="center"/>
            </w:pPr>
            <w:r w:rsidRPr="0027082E">
              <w:lastRenderedPageBreak/>
              <w:t>100</w:t>
            </w:r>
          </w:p>
        </w:tc>
        <w:tc>
          <w:tcPr>
            <w:tcW w:w="1540" w:type="dxa"/>
          </w:tcPr>
          <w:p w14:paraId="15ED4F73" w14:textId="77777777" w:rsidR="00CC03E6" w:rsidRPr="0027082E" w:rsidRDefault="00CC03E6" w:rsidP="006F6712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1</w:t>
            </w:r>
          </w:p>
        </w:tc>
      </w:tr>
      <w:tr w:rsidR="00CC03E6" w:rsidRPr="0027082E" w14:paraId="29F14136" w14:textId="77777777" w:rsidTr="006F6712">
        <w:tc>
          <w:tcPr>
            <w:tcW w:w="698" w:type="dxa"/>
          </w:tcPr>
          <w:p w14:paraId="4266E5AA" w14:textId="77777777" w:rsidR="00CC03E6" w:rsidRPr="0027082E" w:rsidRDefault="00CC03E6" w:rsidP="006F6712">
            <w:pPr>
              <w:jc w:val="center"/>
            </w:pPr>
            <w:r w:rsidRPr="0027082E">
              <w:t>2</w:t>
            </w:r>
          </w:p>
        </w:tc>
        <w:tc>
          <w:tcPr>
            <w:tcW w:w="5114" w:type="dxa"/>
          </w:tcPr>
          <w:p w14:paraId="008583DA" w14:textId="437239EB" w:rsidR="00CC03E6" w:rsidRPr="0027082E" w:rsidRDefault="00CC03E6" w:rsidP="006F6712">
            <w:pPr>
              <w:ind w:firstLine="295"/>
            </w:pPr>
            <w:r w:rsidRPr="0027082E">
              <w:t xml:space="preserve">Учаснику присвоюється друга група суспільної важливості, якщо </w:t>
            </w:r>
            <w:r w:rsidR="00C46B18" w:rsidRPr="0027082E">
              <w:t>він</w:t>
            </w:r>
            <w:r w:rsidRPr="0027082E">
              <w:t xml:space="preserve"> відповідає одному та/або кільком показникам: </w:t>
            </w:r>
          </w:p>
          <w:p w14:paraId="1D1FF48D" w14:textId="38E5C667" w:rsidR="00CC03E6" w:rsidRPr="0027082E" w:rsidRDefault="00CC03E6" w:rsidP="00CC03E6">
            <w:pPr>
              <w:pStyle w:val="af3"/>
              <w:numPr>
                <w:ilvl w:val="0"/>
                <w:numId w:val="20"/>
              </w:numPr>
              <w:spacing w:before="120" w:after="120"/>
              <w:ind w:left="0" w:firstLine="360"/>
              <w:contextualSpacing w:val="0"/>
            </w:pPr>
            <w:r w:rsidRPr="0027082E">
              <w:t xml:space="preserve">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учасник вида</w:t>
            </w:r>
            <w:r w:rsidR="0045706F">
              <w:t>в</w:t>
            </w:r>
            <w:r w:rsidRPr="0027082E">
              <w:t xml:space="preserve"> гарантії, обсяг яких на ринку становив </w:t>
            </w:r>
            <w:r w:rsidR="00554539" w:rsidRPr="0027082E">
              <w:t xml:space="preserve">від </w:t>
            </w:r>
            <w:r w:rsidRPr="0027082E">
              <w:t xml:space="preserve">20% </w:t>
            </w:r>
            <w:r w:rsidR="00554539" w:rsidRPr="0027082E">
              <w:t xml:space="preserve">до </w:t>
            </w:r>
            <w:r w:rsidRPr="0027082E">
              <w:t xml:space="preserve">40% від загального обсягу таких послуг, наданих усіма учасниками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>;</w:t>
            </w:r>
          </w:p>
          <w:p w14:paraId="7D80440F" w14:textId="799E5152" w:rsidR="00CC03E6" w:rsidRPr="0027082E" w:rsidRDefault="00CC03E6" w:rsidP="00CC03E6">
            <w:pPr>
              <w:pStyle w:val="af3"/>
              <w:numPr>
                <w:ilvl w:val="0"/>
                <w:numId w:val="20"/>
              </w:numPr>
              <w:spacing w:before="120" w:after="120"/>
              <w:ind w:left="0" w:firstLine="283"/>
              <w:contextualSpacing w:val="0"/>
            </w:pPr>
            <w:r w:rsidRPr="0027082E">
              <w:t xml:space="preserve">обсяг операцій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на ринку фінансового лізингу </w:t>
            </w:r>
            <w:r w:rsidR="00B90D2D" w:rsidRPr="0027082E">
              <w:t>(</w:t>
            </w:r>
            <w:r w:rsidRPr="0027082E">
              <w:t>лізингодавцями</w:t>
            </w:r>
            <w:r w:rsidR="00B90D2D" w:rsidRPr="0027082E">
              <w:t>)</w:t>
            </w:r>
            <w:r w:rsidRPr="0027082E">
              <w:t xml:space="preserve"> становив </w:t>
            </w:r>
            <w:r w:rsidR="00EF700D" w:rsidRPr="0027082E">
              <w:t xml:space="preserve">від </w:t>
            </w:r>
            <w:r w:rsidRPr="0027082E">
              <w:t xml:space="preserve">20% </w:t>
            </w:r>
            <w:r w:rsidR="00EF700D" w:rsidRPr="0027082E">
              <w:t xml:space="preserve"> до</w:t>
            </w:r>
            <w:r w:rsidRPr="0027082E">
              <w:t xml:space="preserve"> 40% від загального обсягу таких послуг, наданих лізингодавцями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>;</w:t>
            </w:r>
          </w:p>
          <w:p w14:paraId="3CBFF11B" w14:textId="1F462B00" w:rsidR="00CC03E6" w:rsidRPr="0027082E" w:rsidRDefault="00CC03E6" w:rsidP="00CC03E6">
            <w:pPr>
              <w:pStyle w:val="af3"/>
              <w:numPr>
                <w:ilvl w:val="0"/>
                <w:numId w:val="20"/>
              </w:numPr>
              <w:spacing w:before="120" w:after="120"/>
              <w:ind w:left="0" w:firstLine="283"/>
              <w:contextualSpacing w:val="0"/>
            </w:pPr>
            <w:r w:rsidRPr="0027082E">
              <w:lastRenderedPageBreak/>
              <w:t xml:space="preserve">обсяг операцій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на ринку фінансового лізингу фінансовими компаніями становив </w:t>
            </w:r>
            <w:r w:rsidR="00EF700D" w:rsidRPr="0027082E">
              <w:t xml:space="preserve">від </w:t>
            </w:r>
            <w:r w:rsidRPr="0027082E">
              <w:t xml:space="preserve">20% </w:t>
            </w:r>
            <w:r w:rsidR="00EF700D" w:rsidRPr="0027082E">
              <w:t>до</w:t>
            </w:r>
            <w:r w:rsidRPr="0027082E">
              <w:t xml:space="preserve"> 40% від загального обсягу таких послуг, наданих фінансовими компаніями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>;</w:t>
            </w:r>
          </w:p>
          <w:p w14:paraId="2A9163D0" w14:textId="39CF879A" w:rsidR="00CC03E6" w:rsidRPr="0027082E" w:rsidRDefault="00CC03E6" w:rsidP="00CC03E6">
            <w:pPr>
              <w:pStyle w:val="af3"/>
              <w:numPr>
                <w:ilvl w:val="0"/>
                <w:numId w:val="20"/>
              </w:numPr>
              <w:spacing w:before="120" w:after="120"/>
              <w:ind w:left="0" w:firstLine="283"/>
              <w:contextualSpacing w:val="0"/>
            </w:pPr>
            <w:r w:rsidRPr="0027082E">
              <w:t xml:space="preserve">обсяг операцій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на ринку факторингу становив </w:t>
            </w:r>
            <w:r w:rsidR="00EF700D" w:rsidRPr="0027082E">
              <w:t xml:space="preserve">від </w:t>
            </w:r>
            <w:r w:rsidRPr="0027082E">
              <w:t xml:space="preserve">7% </w:t>
            </w:r>
            <w:r w:rsidR="00EF700D" w:rsidRPr="0027082E">
              <w:t>до</w:t>
            </w:r>
            <w:r w:rsidRPr="0027082E">
              <w:t xml:space="preserve"> 10% від загального обсягу таких послуг, наданих усіма учасниками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>;</w:t>
            </w:r>
          </w:p>
          <w:p w14:paraId="211038DC" w14:textId="345F47F9" w:rsidR="00CC03E6" w:rsidRPr="0027082E" w:rsidRDefault="00CC03E6" w:rsidP="00615575">
            <w:pPr>
              <w:pStyle w:val="af3"/>
              <w:numPr>
                <w:ilvl w:val="0"/>
                <w:numId w:val="20"/>
              </w:numPr>
              <w:spacing w:before="120" w:after="120"/>
              <w:ind w:left="0" w:firstLine="283"/>
              <w:contextualSpacing w:val="0"/>
            </w:pPr>
            <w:r w:rsidRPr="0027082E">
              <w:t xml:space="preserve">обсяг наданих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позик становив </w:t>
            </w:r>
            <w:r w:rsidR="00EF700D" w:rsidRPr="0027082E">
              <w:t xml:space="preserve">від </w:t>
            </w:r>
            <w:r w:rsidR="00615575" w:rsidRPr="0027082E">
              <w:t xml:space="preserve">5% </w:t>
            </w:r>
            <w:r w:rsidR="00EF700D" w:rsidRPr="0027082E">
              <w:t>до</w:t>
            </w:r>
            <w:r w:rsidRPr="0027082E">
              <w:t xml:space="preserve"> 10% від загального обсягу позик, наданих усіма учасниками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</w:p>
        </w:tc>
        <w:tc>
          <w:tcPr>
            <w:tcW w:w="2082" w:type="dxa"/>
          </w:tcPr>
          <w:p w14:paraId="066220B3" w14:textId="77777777" w:rsidR="00CC03E6" w:rsidRPr="0027082E" w:rsidRDefault="00CC03E6" w:rsidP="006F6712">
            <w:pPr>
              <w:jc w:val="center"/>
            </w:pPr>
            <w:r w:rsidRPr="0027082E">
              <w:lastRenderedPageBreak/>
              <w:t>100</w:t>
            </w:r>
          </w:p>
        </w:tc>
        <w:tc>
          <w:tcPr>
            <w:tcW w:w="1540" w:type="dxa"/>
          </w:tcPr>
          <w:p w14:paraId="7D8D1F28" w14:textId="77777777" w:rsidR="00CC03E6" w:rsidRPr="0027082E" w:rsidRDefault="00CC03E6" w:rsidP="006F6712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2</w:t>
            </w:r>
          </w:p>
        </w:tc>
      </w:tr>
      <w:tr w:rsidR="00ED4DB2" w:rsidRPr="0027082E" w14:paraId="0673EA6D" w14:textId="77777777" w:rsidTr="00F45C97">
        <w:tc>
          <w:tcPr>
            <w:tcW w:w="698" w:type="dxa"/>
          </w:tcPr>
          <w:p w14:paraId="7F803CB5" w14:textId="5E3EFDA4" w:rsidR="00ED4DB2" w:rsidRPr="0027082E" w:rsidRDefault="00CC03E6" w:rsidP="00F45C97">
            <w:pPr>
              <w:jc w:val="center"/>
            </w:pPr>
            <w:r w:rsidRPr="0027082E">
              <w:t>3</w:t>
            </w:r>
          </w:p>
        </w:tc>
        <w:tc>
          <w:tcPr>
            <w:tcW w:w="5114" w:type="dxa"/>
          </w:tcPr>
          <w:p w14:paraId="75A5EDC0" w14:textId="2071DD79" w:rsidR="00ED4DB2" w:rsidRPr="0027082E" w:rsidRDefault="00ED4DB2" w:rsidP="00F45C97">
            <w:pPr>
              <w:ind w:firstLine="295"/>
            </w:pPr>
            <w:r w:rsidRPr="0027082E">
              <w:t>Учаснику присвоюється третя група суспільної важливості, якщо в</w:t>
            </w:r>
            <w:r w:rsidR="0045706F">
              <w:t>ін</w:t>
            </w:r>
            <w:r w:rsidRPr="0027082E">
              <w:t xml:space="preserve"> відповідає одному та/або кільком показникам: </w:t>
            </w:r>
          </w:p>
          <w:p w14:paraId="799EE4A5" w14:textId="156BFCBE" w:rsidR="00ED4DB2" w:rsidRPr="0027082E" w:rsidRDefault="00ED4DB2" w:rsidP="00ED4DB2">
            <w:pPr>
              <w:pStyle w:val="af3"/>
              <w:numPr>
                <w:ilvl w:val="0"/>
                <w:numId w:val="13"/>
              </w:numPr>
              <w:spacing w:before="120" w:after="120"/>
              <w:ind w:left="0" w:firstLine="283"/>
              <w:contextualSpacing w:val="0"/>
            </w:pPr>
            <w:r w:rsidRPr="0027082E">
              <w:t xml:space="preserve">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учасник  вида</w:t>
            </w:r>
            <w:r w:rsidR="0045706F">
              <w:t>в</w:t>
            </w:r>
            <w:r w:rsidRPr="0027082E">
              <w:t xml:space="preserve"> гарантії, обсяг яких на ринку становив </w:t>
            </w:r>
            <w:r w:rsidR="00615575" w:rsidRPr="0027082E">
              <w:t xml:space="preserve">від </w:t>
            </w:r>
            <w:r w:rsidRPr="0027082E">
              <w:t xml:space="preserve">10% </w:t>
            </w:r>
            <w:r w:rsidR="00EF700D" w:rsidRPr="0027082E">
              <w:t xml:space="preserve"> до </w:t>
            </w:r>
            <w:r w:rsidR="00CC03E6" w:rsidRPr="0027082E">
              <w:t>20%</w:t>
            </w:r>
            <w:r w:rsidR="00615575" w:rsidRPr="0027082E">
              <w:t xml:space="preserve"> </w:t>
            </w:r>
            <w:r w:rsidRPr="0027082E">
              <w:t xml:space="preserve">від загального обсягу таких послуг, наданих усіма учасниками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>;</w:t>
            </w:r>
          </w:p>
          <w:p w14:paraId="77220E16" w14:textId="26F9F96B" w:rsidR="00ED4DB2" w:rsidRPr="0027082E" w:rsidRDefault="00ED4DB2" w:rsidP="00ED4DB2">
            <w:pPr>
              <w:pStyle w:val="af3"/>
              <w:numPr>
                <w:ilvl w:val="0"/>
                <w:numId w:val="13"/>
              </w:numPr>
              <w:spacing w:before="120" w:after="120"/>
              <w:ind w:left="0" w:firstLine="283"/>
              <w:contextualSpacing w:val="0"/>
            </w:pPr>
            <w:r w:rsidRPr="0027082E">
              <w:t xml:space="preserve">обсяг операцій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на ринку фінансового лізингу </w:t>
            </w:r>
            <w:r w:rsidR="00B90D2D" w:rsidRPr="0027082E">
              <w:t>(</w:t>
            </w:r>
            <w:r w:rsidRPr="0027082E">
              <w:t>лізингодавцями</w:t>
            </w:r>
            <w:r w:rsidR="00B90D2D" w:rsidRPr="0027082E">
              <w:t>)</w:t>
            </w:r>
            <w:r w:rsidRPr="0027082E">
              <w:t xml:space="preserve"> становив </w:t>
            </w:r>
            <w:r w:rsidR="00D6422C" w:rsidRPr="0027082E">
              <w:t xml:space="preserve">від </w:t>
            </w:r>
            <w:r w:rsidRPr="0027082E">
              <w:t xml:space="preserve">10% </w:t>
            </w:r>
            <w:r w:rsidR="00D6422C" w:rsidRPr="0027082E">
              <w:t xml:space="preserve"> до</w:t>
            </w:r>
            <w:r w:rsidR="00B90D2D" w:rsidRPr="0027082E">
              <w:t xml:space="preserve"> 20% </w:t>
            </w:r>
            <w:r w:rsidRPr="0027082E">
              <w:t xml:space="preserve"> від загального обсягу таких послуг, наданих лізингодавцями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>;</w:t>
            </w:r>
          </w:p>
          <w:p w14:paraId="70834F89" w14:textId="63032440" w:rsidR="00ED4DB2" w:rsidRPr="0027082E" w:rsidRDefault="00ED4DB2" w:rsidP="00ED4DB2">
            <w:pPr>
              <w:pStyle w:val="af3"/>
              <w:numPr>
                <w:ilvl w:val="0"/>
                <w:numId w:val="13"/>
              </w:numPr>
              <w:spacing w:before="120" w:after="120"/>
              <w:ind w:left="0" w:firstLine="283"/>
              <w:contextualSpacing w:val="0"/>
            </w:pPr>
            <w:r w:rsidRPr="0027082E">
              <w:t xml:space="preserve">обсяг операцій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на ринку фінансового лізингу фінансовими компаніями становив </w:t>
            </w:r>
            <w:r w:rsidR="00615575" w:rsidRPr="0027082E">
              <w:t xml:space="preserve">від </w:t>
            </w:r>
            <w:r w:rsidRPr="0027082E">
              <w:t xml:space="preserve">10% </w:t>
            </w:r>
            <w:r w:rsidR="00D6422C" w:rsidRPr="0027082E">
              <w:t xml:space="preserve"> до</w:t>
            </w:r>
            <w:r w:rsidR="00B90D2D" w:rsidRPr="0027082E">
              <w:t xml:space="preserve"> 20% </w:t>
            </w:r>
            <w:r w:rsidRPr="0027082E">
              <w:t xml:space="preserve">від загального </w:t>
            </w:r>
            <w:r w:rsidRPr="0027082E">
              <w:lastRenderedPageBreak/>
              <w:t>обсягу та</w:t>
            </w:r>
            <w:r w:rsidR="00615575" w:rsidRPr="0027082E">
              <w:t xml:space="preserve">ких послуг, наданих фінансовими </w:t>
            </w:r>
            <w:r w:rsidRPr="0027082E">
              <w:t xml:space="preserve">компаніями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>;</w:t>
            </w:r>
          </w:p>
          <w:p w14:paraId="0C3BDA47" w14:textId="77777777" w:rsidR="00615575" w:rsidRPr="0027082E" w:rsidRDefault="00ED4DB2" w:rsidP="00615575">
            <w:pPr>
              <w:pStyle w:val="af3"/>
              <w:numPr>
                <w:ilvl w:val="0"/>
                <w:numId w:val="13"/>
              </w:numPr>
              <w:spacing w:before="120" w:after="120"/>
              <w:ind w:left="0" w:firstLine="283"/>
              <w:contextualSpacing w:val="0"/>
            </w:pPr>
            <w:r w:rsidRPr="0027082E">
              <w:t xml:space="preserve">обсяг операцій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на ринку факторингу становив </w:t>
            </w:r>
            <w:r w:rsidR="00D6422C" w:rsidRPr="0027082E">
              <w:t xml:space="preserve">від </w:t>
            </w:r>
            <w:r w:rsidR="00B90D2D" w:rsidRPr="0027082E">
              <w:t>5</w:t>
            </w:r>
            <w:r w:rsidRPr="0027082E">
              <w:t xml:space="preserve">% </w:t>
            </w:r>
            <w:r w:rsidR="00D6422C" w:rsidRPr="0027082E">
              <w:t>до</w:t>
            </w:r>
            <w:r w:rsidR="00615575" w:rsidRPr="0027082E">
              <w:t xml:space="preserve"> </w:t>
            </w:r>
            <w:r w:rsidR="00B90D2D" w:rsidRPr="0027082E">
              <w:t xml:space="preserve">7% </w:t>
            </w:r>
            <w:r w:rsidRPr="0027082E">
              <w:t xml:space="preserve"> від загального обсягу таких послуг, наданих усіма учасниками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>;</w:t>
            </w:r>
          </w:p>
          <w:p w14:paraId="2752512D" w14:textId="7DB4EEB7" w:rsidR="00B50941" w:rsidRPr="0027082E" w:rsidRDefault="00ED4DB2" w:rsidP="005239BC">
            <w:pPr>
              <w:pStyle w:val="af3"/>
              <w:numPr>
                <w:ilvl w:val="0"/>
                <w:numId w:val="13"/>
              </w:numPr>
              <w:spacing w:before="120" w:after="120"/>
              <w:ind w:left="0" w:firstLine="283"/>
              <w:contextualSpacing w:val="0"/>
            </w:pPr>
            <w:r w:rsidRPr="0027082E">
              <w:t xml:space="preserve">обсяг наданих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позик становив </w:t>
            </w:r>
            <w:r w:rsidR="00615575" w:rsidRPr="0027082E">
              <w:t xml:space="preserve">від </w:t>
            </w:r>
            <w:r w:rsidR="00B90D2D" w:rsidRPr="0027082E">
              <w:t>3</w:t>
            </w:r>
            <w:r w:rsidR="0045706F">
              <w:t>%</w:t>
            </w:r>
            <w:r w:rsidR="002F13ED" w:rsidRPr="0027082E">
              <w:t xml:space="preserve"> до</w:t>
            </w:r>
            <w:r w:rsidR="00B90D2D" w:rsidRPr="0027082E">
              <w:t xml:space="preserve"> 5%</w:t>
            </w:r>
            <w:r w:rsidRPr="0027082E">
              <w:t xml:space="preserve"> від загального обсягу позик, наданих усіма учасниками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</w:p>
        </w:tc>
        <w:tc>
          <w:tcPr>
            <w:tcW w:w="2082" w:type="dxa"/>
          </w:tcPr>
          <w:p w14:paraId="1C00E7D1" w14:textId="77777777" w:rsidR="00ED4DB2" w:rsidRPr="0027082E" w:rsidRDefault="00ED4DB2" w:rsidP="00F45C97">
            <w:pPr>
              <w:jc w:val="center"/>
            </w:pPr>
            <w:r w:rsidRPr="0027082E">
              <w:lastRenderedPageBreak/>
              <w:t>100</w:t>
            </w:r>
          </w:p>
        </w:tc>
        <w:tc>
          <w:tcPr>
            <w:tcW w:w="1540" w:type="dxa"/>
          </w:tcPr>
          <w:p w14:paraId="69CA06CE" w14:textId="77777777" w:rsidR="00ED4DB2" w:rsidRPr="0027082E" w:rsidRDefault="00ED4DB2" w:rsidP="00F45C97">
            <w:pPr>
              <w:jc w:val="center"/>
            </w:pPr>
            <w:r w:rsidRPr="0027082E">
              <w:rPr>
                <w:color w:val="000000"/>
              </w:rPr>
              <w:t>3</w:t>
            </w:r>
          </w:p>
        </w:tc>
      </w:tr>
      <w:tr w:rsidR="00ED4DB2" w:rsidRPr="0027082E" w14:paraId="559EED10" w14:textId="77777777" w:rsidTr="00F45C97">
        <w:tc>
          <w:tcPr>
            <w:tcW w:w="698" w:type="dxa"/>
          </w:tcPr>
          <w:p w14:paraId="27F5060E" w14:textId="68465A9A" w:rsidR="00ED4DB2" w:rsidRPr="0027082E" w:rsidRDefault="00CC03E6" w:rsidP="00F45C97">
            <w:pPr>
              <w:jc w:val="center"/>
            </w:pPr>
            <w:r w:rsidRPr="0027082E">
              <w:t>4</w:t>
            </w:r>
          </w:p>
        </w:tc>
        <w:tc>
          <w:tcPr>
            <w:tcW w:w="5114" w:type="dxa"/>
          </w:tcPr>
          <w:p w14:paraId="7DF6123C" w14:textId="4C4421D1" w:rsidR="00ED4DB2" w:rsidRPr="0027082E" w:rsidRDefault="00ED4DB2" w:rsidP="00F45C97">
            <w:pPr>
              <w:ind w:firstLine="436"/>
            </w:pPr>
            <w:r w:rsidRPr="0027082E">
              <w:t>Учаснику присвоюється четверта група суспільної важливості, якщо в</w:t>
            </w:r>
            <w:r w:rsidR="0045706F">
              <w:t>ін</w:t>
            </w:r>
            <w:r w:rsidRPr="0027082E">
              <w:t xml:space="preserve"> відповідає одному та/або кільком показникам: </w:t>
            </w:r>
          </w:p>
          <w:p w14:paraId="64268F1E" w14:textId="29EAA57F" w:rsidR="00ED4DB2" w:rsidRPr="0027082E" w:rsidRDefault="00ED4DB2" w:rsidP="00F45C97">
            <w:pPr>
              <w:pStyle w:val="af3"/>
              <w:spacing w:before="120" w:after="120"/>
              <w:ind w:left="11" w:firstLine="284"/>
              <w:contextualSpacing w:val="0"/>
            </w:pPr>
            <w:r w:rsidRPr="0027082E">
              <w:t xml:space="preserve">1)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 xml:space="preserve"> учасник  вида</w:t>
            </w:r>
            <w:r w:rsidR="0045706F">
              <w:t>в</w:t>
            </w:r>
            <w:r w:rsidRPr="0027082E">
              <w:t xml:space="preserve"> гарантії, обсяг яких на ринку становив </w:t>
            </w:r>
            <w:r w:rsidR="002F13ED" w:rsidRPr="0027082E">
              <w:t xml:space="preserve"> від </w:t>
            </w:r>
            <w:r w:rsidRPr="0027082E">
              <w:t>0</w:t>
            </w:r>
            <w:r w:rsidR="00774A45">
              <w:t>,</w:t>
            </w:r>
            <w:r w:rsidRPr="0027082E">
              <w:t>5%</w:t>
            </w:r>
            <w:r w:rsidR="00615575" w:rsidRPr="0027082E">
              <w:t xml:space="preserve"> до </w:t>
            </w:r>
            <w:r w:rsidR="00B90D2D" w:rsidRPr="0027082E">
              <w:t xml:space="preserve">10% </w:t>
            </w:r>
            <w:r w:rsidRPr="0027082E">
              <w:t xml:space="preserve">від загального обсягу таких послуг, наданих усіма учасниками за період </w:t>
            </w:r>
            <w:r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Pr="0027082E">
              <w:t>;</w:t>
            </w:r>
          </w:p>
          <w:p w14:paraId="4EA4603A" w14:textId="5DFF4272" w:rsidR="00ED4DB2" w:rsidRPr="0027082E" w:rsidRDefault="004F1132" w:rsidP="00F45C97">
            <w:pPr>
              <w:spacing w:before="120" w:after="120"/>
              <w:ind w:left="11" w:firstLine="284"/>
            </w:pPr>
            <w:r w:rsidRPr="0027082E">
              <w:t>2</w:t>
            </w:r>
            <w:r w:rsidR="00ED4DB2" w:rsidRPr="0027082E">
              <w:t xml:space="preserve">) обсяг операцій за період </w:t>
            </w:r>
            <w:r w:rsidR="00ED4DB2"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="00ED4DB2" w:rsidRPr="0027082E">
              <w:t xml:space="preserve"> на ринку фінансового лізингу </w:t>
            </w:r>
            <w:r w:rsidR="009811B8" w:rsidRPr="0027082E">
              <w:t>(</w:t>
            </w:r>
            <w:r w:rsidR="00ED4DB2" w:rsidRPr="0027082E">
              <w:t>лізингодавцями</w:t>
            </w:r>
            <w:r w:rsidR="009811B8" w:rsidRPr="0027082E">
              <w:t>)</w:t>
            </w:r>
            <w:r w:rsidRPr="0027082E">
              <w:t xml:space="preserve"> становив </w:t>
            </w:r>
            <w:r w:rsidR="002F13ED" w:rsidRPr="0027082E">
              <w:t>від</w:t>
            </w:r>
            <w:r w:rsidR="00CC03E6" w:rsidRPr="0027082E">
              <w:t xml:space="preserve"> 5% </w:t>
            </w:r>
            <w:r w:rsidR="002F13ED" w:rsidRPr="0027082E">
              <w:t xml:space="preserve">до </w:t>
            </w:r>
            <w:r w:rsidR="00CC03E6" w:rsidRPr="0027082E">
              <w:t xml:space="preserve">10% </w:t>
            </w:r>
            <w:r w:rsidR="00ED4DB2" w:rsidRPr="0027082E">
              <w:t xml:space="preserve">від  загального обсягу таких послуг, наданих лізингодавцями за період </w:t>
            </w:r>
            <w:r w:rsidR="00ED4DB2"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="00ED4DB2" w:rsidRPr="0027082E">
              <w:t>;</w:t>
            </w:r>
          </w:p>
          <w:p w14:paraId="130C7AA6" w14:textId="7A12E96A" w:rsidR="00ED4DB2" w:rsidRPr="0027082E" w:rsidRDefault="0045706F" w:rsidP="00F45C97">
            <w:pPr>
              <w:pStyle w:val="af3"/>
              <w:spacing w:before="120" w:after="120"/>
              <w:ind w:left="11" w:firstLine="284"/>
              <w:contextualSpacing w:val="0"/>
            </w:pPr>
            <w:r>
              <w:t>3</w:t>
            </w:r>
            <w:r w:rsidR="00ED4DB2" w:rsidRPr="0027082E">
              <w:t xml:space="preserve">) обсяг операцій за період </w:t>
            </w:r>
            <w:r w:rsidR="00ED4DB2"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="00ED4DB2" w:rsidRPr="0027082E">
              <w:t xml:space="preserve"> на ринку фінансового лізингу </w:t>
            </w:r>
            <w:r w:rsidR="004F1132" w:rsidRPr="0027082E">
              <w:t xml:space="preserve">фінансовими компаніями становив </w:t>
            </w:r>
            <w:r w:rsidR="009E73FF" w:rsidRPr="0027082E">
              <w:t>від</w:t>
            </w:r>
            <w:r w:rsidR="00CC03E6" w:rsidRPr="0027082E">
              <w:t xml:space="preserve"> 5%</w:t>
            </w:r>
            <w:r w:rsidR="009E73FF" w:rsidRPr="0027082E">
              <w:t xml:space="preserve"> до </w:t>
            </w:r>
            <w:r w:rsidR="00CC03E6" w:rsidRPr="0027082E">
              <w:t xml:space="preserve">10% </w:t>
            </w:r>
            <w:r w:rsidR="00ED4DB2" w:rsidRPr="0027082E">
              <w:t xml:space="preserve">від загального обсягу таких послуг, наданих фінансовими компаніями за період </w:t>
            </w:r>
            <w:r w:rsidR="00ED4DB2"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="00ED4DB2" w:rsidRPr="0027082E">
              <w:t>;</w:t>
            </w:r>
          </w:p>
          <w:p w14:paraId="60C9E328" w14:textId="7C42715C" w:rsidR="00ED4DB2" w:rsidRPr="0027082E" w:rsidRDefault="0045706F" w:rsidP="00C678B7">
            <w:pPr>
              <w:spacing w:before="120" w:after="120"/>
              <w:ind w:firstLine="185"/>
            </w:pPr>
            <w:r>
              <w:t xml:space="preserve">4) </w:t>
            </w:r>
            <w:r w:rsidR="00ED4DB2" w:rsidRPr="0027082E">
              <w:t xml:space="preserve">обсяг операцій за період </w:t>
            </w:r>
            <w:r w:rsidR="00ED4DB2" w:rsidRPr="0045706F">
              <w:rPr>
                <w:bCs/>
                <w:color w:val="000000"/>
                <w:shd w:val="clear" w:color="auto" w:fill="FFFFFF"/>
              </w:rPr>
              <w:t>оцінювання</w:t>
            </w:r>
            <w:r w:rsidR="004F1132" w:rsidRPr="0027082E">
              <w:t xml:space="preserve"> на ринку факторингу становив </w:t>
            </w:r>
            <w:r w:rsidR="00A2462B" w:rsidRPr="0027082E">
              <w:t>від</w:t>
            </w:r>
            <w:r w:rsidR="00CC03E6" w:rsidRPr="0027082E">
              <w:t xml:space="preserve"> 3</w:t>
            </w:r>
            <w:r w:rsidR="00CC03E6" w:rsidRPr="0045706F">
              <w:rPr>
                <w:lang w:val="ru-RU"/>
              </w:rPr>
              <w:t>%</w:t>
            </w:r>
            <w:r w:rsidR="00A2462B" w:rsidRPr="0027082E">
              <w:t xml:space="preserve"> до</w:t>
            </w:r>
            <w:r w:rsidR="00CC03E6" w:rsidRPr="0027082E">
              <w:t xml:space="preserve"> </w:t>
            </w:r>
            <w:r w:rsidR="00CC03E6" w:rsidRPr="0027082E">
              <w:lastRenderedPageBreak/>
              <w:t xml:space="preserve">5% </w:t>
            </w:r>
            <w:r w:rsidR="00ED4DB2" w:rsidRPr="0027082E">
              <w:t xml:space="preserve">від загального обсягу таких послуг, наданих усіма учасниками за період </w:t>
            </w:r>
            <w:r w:rsidR="00ED4DB2" w:rsidRPr="0045706F">
              <w:rPr>
                <w:bCs/>
                <w:color w:val="000000"/>
                <w:shd w:val="clear" w:color="auto" w:fill="FFFFFF"/>
              </w:rPr>
              <w:t>оцінювання</w:t>
            </w:r>
            <w:r w:rsidR="00ED4DB2" w:rsidRPr="0027082E">
              <w:t>;</w:t>
            </w:r>
          </w:p>
          <w:p w14:paraId="113CB22E" w14:textId="3BB76A1E" w:rsidR="00ED4DB2" w:rsidRPr="0027082E" w:rsidRDefault="00935B55" w:rsidP="00C678B7">
            <w:pPr>
              <w:pStyle w:val="af3"/>
              <w:spacing w:before="120" w:after="120"/>
              <w:ind w:left="43" w:firstLine="317"/>
            </w:pPr>
            <w:r>
              <w:t xml:space="preserve">5) </w:t>
            </w:r>
            <w:r w:rsidR="00ED4DB2" w:rsidRPr="0027082E">
              <w:t xml:space="preserve">обсяг наданих за період </w:t>
            </w:r>
            <w:r w:rsidR="00ED4DB2"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  <w:r w:rsidR="00ED4DB2" w:rsidRPr="0027082E">
              <w:t xml:space="preserve"> позик </w:t>
            </w:r>
            <w:r>
              <w:t>становив</w:t>
            </w:r>
            <w:r w:rsidR="00A2462B" w:rsidRPr="0027082E">
              <w:t xml:space="preserve"> від</w:t>
            </w:r>
            <w:r w:rsidR="00CC03E6" w:rsidRPr="0027082E">
              <w:t xml:space="preserve"> 1%</w:t>
            </w:r>
            <w:r w:rsidR="00A2462B" w:rsidRPr="0027082E">
              <w:t xml:space="preserve"> до </w:t>
            </w:r>
            <w:r w:rsidR="00CC03E6" w:rsidRPr="0027082E">
              <w:t xml:space="preserve">3% </w:t>
            </w:r>
            <w:r w:rsidR="00ED4DB2" w:rsidRPr="0027082E">
              <w:t xml:space="preserve">від загального обсягу позик, наданих усіма учасниками за період </w:t>
            </w:r>
            <w:r w:rsidR="00ED4DB2" w:rsidRPr="0027082E">
              <w:rPr>
                <w:bCs/>
                <w:color w:val="000000"/>
                <w:shd w:val="clear" w:color="auto" w:fill="FFFFFF"/>
              </w:rPr>
              <w:t>оцінювання</w:t>
            </w:r>
          </w:p>
          <w:p w14:paraId="3C1C5FDB" w14:textId="25E9B11F" w:rsidR="00B50941" w:rsidRPr="0027082E" w:rsidRDefault="00B50941" w:rsidP="005239BC">
            <w:pPr>
              <w:spacing w:before="120" w:after="120"/>
            </w:pPr>
          </w:p>
        </w:tc>
        <w:tc>
          <w:tcPr>
            <w:tcW w:w="2082" w:type="dxa"/>
          </w:tcPr>
          <w:p w14:paraId="279624BC" w14:textId="77777777" w:rsidR="00ED4DB2" w:rsidRPr="0027082E" w:rsidRDefault="00ED4DB2" w:rsidP="00F45C97">
            <w:pPr>
              <w:jc w:val="center"/>
            </w:pPr>
            <w:r w:rsidRPr="0027082E">
              <w:lastRenderedPageBreak/>
              <w:t>100</w:t>
            </w:r>
          </w:p>
        </w:tc>
        <w:tc>
          <w:tcPr>
            <w:tcW w:w="1540" w:type="dxa"/>
          </w:tcPr>
          <w:p w14:paraId="460C0169" w14:textId="77777777" w:rsidR="00ED4DB2" w:rsidRPr="0027082E" w:rsidRDefault="00ED4DB2" w:rsidP="00F45C97">
            <w:pPr>
              <w:jc w:val="center"/>
              <w:rPr>
                <w:color w:val="000000"/>
              </w:rPr>
            </w:pPr>
            <w:r w:rsidRPr="0027082E">
              <w:rPr>
                <w:color w:val="000000"/>
              </w:rPr>
              <w:t>4</w:t>
            </w:r>
          </w:p>
        </w:tc>
      </w:tr>
    </w:tbl>
    <w:p w14:paraId="4CF9696F" w14:textId="03F4AE93" w:rsidR="00ED4DB2" w:rsidRPr="0027082E" w:rsidRDefault="00ED4DB2" w:rsidP="004F1132">
      <w:pPr>
        <w:spacing w:after="120"/>
        <w:jc w:val="center"/>
        <w:rPr>
          <w:bCs/>
          <w:color w:val="000000"/>
          <w:shd w:val="clear" w:color="auto" w:fill="FFFFFF"/>
        </w:rPr>
      </w:pPr>
      <w:r w:rsidRPr="0027082E">
        <w:br w:type="textWrapping" w:clear="all"/>
      </w:r>
      <w:r w:rsidRPr="0027082E">
        <w:rPr>
          <w:shd w:val="clear" w:color="auto" w:fill="FFFFFF"/>
        </w:rPr>
        <w:t xml:space="preserve">Пояснення </w:t>
      </w:r>
      <w:r w:rsidRPr="0027082E">
        <w:rPr>
          <w:color w:val="333333"/>
          <w:shd w:val="clear" w:color="auto" w:fill="FFFFFF"/>
        </w:rPr>
        <w:t xml:space="preserve">до </w:t>
      </w:r>
      <w:r w:rsidRPr="0027082E">
        <w:rPr>
          <w:color w:val="000000"/>
        </w:rPr>
        <w:t>критеріїв для визначення суспільної важливості фінансової компанії</w:t>
      </w:r>
      <w:r w:rsidRPr="0027082E">
        <w:rPr>
          <w:bCs/>
          <w:color w:val="000000"/>
          <w:shd w:val="clear" w:color="auto" w:fill="FFFFFF"/>
        </w:rPr>
        <w:t>, лізингодавця, ломбарду</w:t>
      </w:r>
      <w:r w:rsidR="009811B8" w:rsidRPr="0027082E">
        <w:rPr>
          <w:bCs/>
          <w:color w:val="000000"/>
          <w:shd w:val="clear" w:color="auto" w:fill="FFFFFF"/>
        </w:rPr>
        <w:t xml:space="preserve"> </w:t>
      </w:r>
      <w:r w:rsidR="00C4762A" w:rsidRPr="0027082E">
        <w:rPr>
          <w:color w:val="000000"/>
        </w:rPr>
        <w:t>(який є учасником</w:t>
      </w:r>
      <w:r w:rsidR="00FB7E4E">
        <w:rPr>
          <w:color w:val="000000"/>
          <w:lang w:val="ru-RU"/>
        </w:rPr>
        <w:t> </w:t>
      </w:r>
      <w:r w:rsidR="00423EC7" w:rsidRPr="0027082E">
        <w:rPr>
          <w:color w:val="000000"/>
        </w:rPr>
        <w:t>/</w:t>
      </w:r>
      <w:r w:rsidR="00FB7E4E">
        <w:rPr>
          <w:color w:val="000000"/>
          <w:lang w:val="ru-RU"/>
        </w:rPr>
        <w:t> </w:t>
      </w:r>
      <w:r w:rsidR="00C4762A" w:rsidRPr="0027082E">
        <w:rPr>
          <w:color w:val="000000"/>
        </w:rPr>
        <w:t>відповідальною</w:t>
      </w:r>
      <w:r w:rsidR="00423EC7" w:rsidRPr="0027082E">
        <w:rPr>
          <w:color w:val="000000"/>
        </w:rPr>
        <w:t xml:space="preserve"> особою</w:t>
      </w:r>
      <w:r w:rsidR="00C4762A" w:rsidRPr="0027082E">
        <w:rPr>
          <w:color w:val="000000"/>
        </w:rPr>
        <w:t xml:space="preserve"> фінансової групи)</w:t>
      </w:r>
    </w:p>
    <w:p w14:paraId="677F2FF6" w14:textId="33CA2EA9" w:rsidR="004F1132" w:rsidRPr="0027082E" w:rsidRDefault="00ED4DB2" w:rsidP="00935B55">
      <w:pPr>
        <w:pStyle w:val="af3"/>
        <w:numPr>
          <w:ilvl w:val="0"/>
          <w:numId w:val="26"/>
        </w:numPr>
        <w:spacing w:after="120"/>
        <w:ind w:left="142" w:firstLine="425"/>
        <w:contextualSpacing w:val="0"/>
      </w:pPr>
      <w:r w:rsidRPr="0027082E">
        <w:rPr>
          <w:color w:val="000000"/>
        </w:rPr>
        <w:t xml:space="preserve">Для цілей цього додатка термін “учасник” </w:t>
      </w:r>
      <w:r w:rsidR="00935B55">
        <w:rPr>
          <w:color w:val="000000"/>
        </w:rPr>
        <w:t>‒</w:t>
      </w:r>
      <w:r w:rsidRPr="0027082E">
        <w:rPr>
          <w:color w:val="000000"/>
        </w:rPr>
        <w:t xml:space="preserve"> фінансова компанія</w:t>
      </w:r>
      <w:r w:rsidRPr="0027082E">
        <w:rPr>
          <w:bCs/>
          <w:color w:val="000000"/>
          <w:shd w:val="clear" w:color="auto" w:fill="FFFFFF"/>
        </w:rPr>
        <w:t>, лізингодавець, ломбард</w:t>
      </w:r>
      <w:r w:rsidR="009811B8" w:rsidRPr="0027082E">
        <w:rPr>
          <w:bCs/>
          <w:color w:val="000000"/>
          <w:shd w:val="clear" w:color="auto" w:fill="FFFFFF"/>
        </w:rPr>
        <w:t xml:space="preserve"> </w:t>
      </w:r>
      <w:r w:rsidR="00C4762A" w:rsidRPr="0027082E">
        <w:rPr>
          <w:color w:val="000000"/>
        </w:rPr>
        <w:t>(який є учасником</w:t>
      </w:r>
      <w:r w:rsidR="00FB7E4E">
        <w:rPr>
          <w:color w:val="000000"/>
          <w:lang w:val="ru-RU"/>
        </w:rPr>
        <w:t> </w:t>
      </w:r>
      <w:r w:rsidR="00423EC7" w:rsidRPr="0027082E">
        <w:rPr>
          <w:color w:val="000000"/>
        </w:rPr>
        <w:t>/</w:t>
      </w:r>
      <w:r w:rsidR="00FB7E4E">
        <w:rPr>
          <w:color w:val="000000"/>
          <w:lang w:val="ru-RU"/>
        </w:rPr>
        <w:t> </w:t>
      </w:r>
      <w:r w:rsidR="00C4762A" w:rsidRPr="0027082E">
        <w:rPr>
          <w:color w:val="000000"/>
        </w:rPr>
        <w:t>відповідальною</w:t>
      </w:r>
      <w:r w:rsidR="00423EC7" w:rsidRPr="0027082E">
        <w:rPr>
          <w:color w:val="000000"/>
        </w:rPr>
        <w:t xml:space="preserve"> особою</w:t>
      </w:r>
      <w:r w:rsidR="00C4762A" w:rsidRPr="0027082E">
        <w:rPr>
          <w:color w:val="000000"/>
        </w:rPr>
        <w:t xml:space="preserve"> фінансової групи)</w:t>
      </w:r>
      <w:r w:rsidRPr="0027082E">
        <w:rPr>
          <w:bCs/>
          <w:color w:val="000000"/>
          <w:shd w:val="clear" w:color="auto" w:fill="FFFFFF"/>
        </w:rPr>
        <w:t>.</w:t>
      </w:r>
      <w:r w:rsidR="00516F05" w:rsidRPr="0027082E">
        <w:t xml:space="preserve"> </w:t>
      </w:r>
    </w:p>
    <w:p w14:paraId="3B582283" w14:textId="13A3A6B2" w:rsidR="004E7D72" w:rsidRPr="0027082E" w:rsidRDefault="00ED4DB2" w:rsidP="00935B55">
      <w:pPr>
        <w:pStyle w:val="af3"/>
        <w:numPr>
          <w:ilvl w:val="0"/>
          <w:numId w:val="26"/>
        </w:numPr>
        <w:ind w:left="142" w:firstLine="425"/>
      </w:pPr>
      <w:r w:rsidRPr="0027082E">
        <w:t xml:space="preserve">Іншим учасникам </w:t>
      </w:r>
      <w:r w:rsidRPr="0027082E">
        <w:rPr>
          <w:iCs/>
          <w:shd w:val="clear" w:color="auto" w:fill="FFFFFF"/>
        </w:rPr>
        <w:t xml:space="preserve">група суспільної важливості </w:t>
      </w:r>
      <w:r w:rsidRPr="0027082E">
        <w:t xml:space="preserve">не </w:t>
      </w:r>
      <w:r w:rsidRPr="0027082E">
        <w:rPr>
          <w:iCs/>
          <w:shd w:val="clear" w:color="auto" w:fill="FFFFFF"/>
        </w:rPr>
        <w:t>присвоюється.</w:t>
      </w:r>
      <w:r w:rsidR="004E7D72" w:rsidRPr="0027082E">
        <w:rPr>
          <w:iCs/>
          <w:shd w:val="clear" w:color="auto" w:fill="FFFFFF"/>
        </w:rPr>
        <w:t xml:space="preserve"> </w:t>
      </w:r>
      <w:r w:rsidR="0096264D" w:rsidRPr="0096264D">
        <w:t>За такими учасниками Національний банк здійснює безвиїзний нагляд.</w:t>
      </w:r>
    </w:p>
    <w:p w14:paraId="4208F624" w14:textId="77777777" w:rsidR="00516F05" w:rsidRPr="0027082E" w:rsidRDefault="00516F05" w:rsidP="00ED4DB2">
      <w:pPr>
        <w:ind w:firstLine="709"/>
        <w:rPr>
          <w:iCs/>
          <w:shd w:val="clear" w:color="auto" w:fill="FFFFFF"/>
        </w:rPr>
      </w:pPr>
    </w:p>
    <w:p w14:paraId="6CB99C47" w14:textId="77777777" w:rsidR="00ED4DB2" w:rsidRPr="0027082E" w:rsidRDefault="00ED4DB2" w:rsidP="00ED4DB2">
      <w:pPr>
        <w:rPr>
          <w:iCs/>
          <w:shd w:val="clear" w:color="auto" w:fill="FFFFFF"/>
        </w:rPr>
      </w:pPr>
    </w:p>
    <w:p w14:paraId="27AD52B2" w14:textId="77777777" w:rsidR="00ED4DB2" w:rsidRPr="0027082E" w:rsidRDefault="00ED4DB2" w:rsidP="00ED4DB2">
      <w:pPr>
        <w:sectPr w:rsidR="00ED4DB2" w:rsidRPr="0027082E" w:rsidSect="00F45C97">
          <w:headerReference w:type="default" r:id="rId22"/>
          <w:pgSz w:w="11906" w:h="16838"/>
          <w:pgMar w:top="567" w:right="567" w:bottom="1701" w:left="1701" w:header="709" w:footer="709" w:gutter="0"/>
          <w:pgNumType w:start="1"/>
          <w:cols w:space="708"/>
          <w:titlePg/>
          <w:docGrid w:linePitch="360"/>
        </w:sectPr>
      </w:pPr>
    </w:p>
    <w:p w14:paraId="3F4A36BA" w14:textId="77777777" w:rsidR="00ED4DB2" w:rsidRPr="0027082E" w:rsidRDefault="00ED4DB2" w:rsidP="00ED4DB2">
      <w:pPr>
        <w:pStyle w:val="af3"/>
        <w:tabs>
          <w:tab w:val="left" w:pos="4820"/>
        </w:tabs>
        <w:ind w:left="4961"/>
      </w:pPr>
      <w:r w:rsidRPr="0027082E">
        <w:lastRenderedPageBreak/>
        <w:t>Додаток 7</w:t>
      </w:r>
    </w:p>
    <w:p w14:paraId="1D226307" w14:textId="37A6206E" w:rsidR="00ED4DB2" w:rsidRPr="0027082E" w:rsidRDefault="00ED4DB2" w:rsidP="00ED4DB2">
      <w:pPr>
        <w:keepNext/>
        <w:ind w:left="4961"/>
        <w:outlineLvl w:val="2"/>
        <w:rPr>
          <w:b/>
          <w:bCs/>
          <w:color w:val="000000"/>
        </w:rPr>
      </w:pPr>
      <w:r w:rsidRPr="0027082E">
        <w:t xml:space="preserve">до </w:t>
      </w:r>
      <w:r w:rsidRPr="0027082E">
        <w:rPr>
          <w:bCs/>
          <w:color w:val="000000"/>
        </w:rPr>
        <w:t xml:space="preserve">Положення про встановлення критеріїв, за якими </w:t>
      </w:r>
      <w:r w:rsidRPr="0027082E">
        <w:rPr>
          <w:bCs/>
        </w:rPr>
        <w:t>оцінюється ступінь ризику від здійснення діяльності учасниками ринку небанківських фінансових послуг, їх суспільн</w:t>
      </w:r>
      <w:r w:rsidR="00F436AF">
        <w:rPr>
          <w:bCs/>
        </w:rPr>
        <w:t>а</w:t>
      </w:r>
      <w:r w:rsidRPr="0027082E">
        <w:rPr>
          <w:bCs/>
          <w:color w:val="000000"/>
        </w:rPr>
        <w:t xml:space="preserve"> важливість</w:t>
      </w:r>
    </w:p>
    <w:p w14:paraId="4B3DB4C5" w14:textId="1D1C39CB" w:rsidR="00ED4DB2" w:rsidRPr="0027082E" w:rsidRDefault="00ED4DB2" w:rsidP="00ED4DB2">
      <w:pPr>
        <w:tabs>
          <w:tab w:val="left" w:pos="4820"/>
        </w:tabs>
        <w:ind w:left="4962"/>
      </w:pPr>
      <w:r w:rsidRPr="0027082E">
        <w:t xml:space="preserve">(пункт </w:t>
      </w:r>
      <w:r w:rsidR="0063305B" w:rsidRPr="0027082E">
        <w:t>2</w:t>
      </w:r>
      <w:r w:rsidR="0063305B">
        <w:t>2</w:t>
      </w:r>
      <w:r w:rsidR="0063305B" w:rsidRPr="0027082E">
        <w:t xml:space="preserve"> </w:t>
      </w:r>
      <w:r w:rsidRPr="0027082E">
        <w:t>розділу ІII)</w:t>
      </w:r>
    </w:p>
    <w:p w14:paraId="194CD05F" w14:textId="77777777" w:rsidR="00ED4DB2" w:rsidRPr="0027082E" w:rsidRDefault="00ED4DB2" w:rsidP="00ED4DB2">
      <w:pPr>
        <w:jc w:val="center"/>
      </w:pPr>
    </w:p>
    <w:p w14:paraId="32E28815" w14:textId="77777777" w:rsidR="00ED4DB2" w:rsidRPr="0027082E" w:rsidRDefault="00ED4DB2" w:rsidP="00ED4DB2">
      <w:pPr>
        <w:jc w:val="center"/>
      </w:pPr>
      <w:r w:rsidRPr="0027082E">
        <w:t xml:space="preserve">Матриця визначення періодичності проведення </w:t>
      </w:r>
    </w:p>
    <w:p w14:paraId="378B509E" w14:textId="77777777" w:rsidR="00ED4DB2" w:rsidRPr="0027082E" w:rsidRDefault="00ED4DB2" w:rsidP="00ED4DB2">
      <w:pPr>
        <w:jc w:val="center"/>
      </w:pPr>
      <w:r w:rsidRPr="0027082E">
        <w:t xml:space="preserve">планових інспекційних перевірок </w:t>
      </w:r>
    </w:p>
    <w:p w14:paraId="76A07FB5" w14:textId="77777777" w:rsidR="00ED4DB2" w:rsidRPr="0027082E" w:rsidRDefault="00ED4DB2" w:rsidP="00ED4DB2">
      <w:pPr>
        <w:jc w:val="center"/>
      </w:pP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2694"/>
        <w:gridCol w:w="3402"/>
      </w:tblGrid>
      <w:tr w:rsidR="00ED4DB2" w:rsidRPr="0027082E" w14:paraId="73A0ACB3" w14:textId="77777777" w:rsidTr="007614BD">
        <w:trPr>
          <w:trHeight w:val="900"/>
        </w:trPr>
        <w:tc>
          <w:tcPr>
            <w:tcW w:w="709" w:type="dxa"/>
          </w:tcPr>
          <w:p w14:paraId="06503972" w14:textId="77777777" w:rsidR="00ED4DB2" w:rsidRPr="0027082E" w:rsidRDefault="00ED4DB2" w:rsidP="00F45C97">
            <w:pPr>
              <w:jc w:val="center"/>
            </w:pPr>
            <w:r w:rsidRPr="0027082E">
              <w:t>№</w:t>
            </w:r>
          </w:p>
          <w:p w14:paraId="4EB87319" w14:textId="77777777" w:rsidR="00ED4DB2" w:rsidRPr="0027082E" w:rsidRDefault="00ED4DB2" w:rsidP="00F45C97">
            <w:pPr>
              <w:jc w:val="center"/>
            </w:pPr>
            <w:r w:rsidRPr="0027082E">
              <w:t>з/п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7820" w14:textId="77777777" w:rsidR="00ED4DB2" w:rsidRPr="0027082E" w:rsidRDefault="00ED4DB2" w:rsidP="00F45C97">
            <w:pPr>
              <w:jc w:val="center"/>
            </w:pPr>
            <w:r w:rsidRPr="0027082E">
              <w:t>Група суспільної важливості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128A3" w14:textId="77777777" w:rsidR="00ED4DB2" w:rsidRPr="0027082E" w:rsidRDefault="00ED4DB2" w:rsidP="00F45C97">
            <w:pPr>
              <w:jc w:val="center"/>
            </w:pPr>
            <w:r w:rsidRPr="0027082E">
              <w:t>Ступінь ризику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B3DC" w14:textId="77777777" w:rsidR="00ED4DB2" w:rsidRPr="0027082E" w:rsidRDefault="00ED4DB2" w:rsidP="00F45C97">
            <w:pPr>
              <w:jc w:val="center"/>
              <w:rPr>
                <w:i/>
              </w:rPr>
            </w:pPr>
            <w:r w:rsidRPr="0027082E">
              <w:t>Періодичність проведення планових інспекційних перевірок</w:t>
            </w:r>
          </w:p>
        </w:tc>
      </w:tr>
      <w:tr w:rsidR="00ED4DB2" w:rsidRPr="0027082E" w14:paraId="09FB32FF" w14:textId="77777777" w:rsidTr="007614BD">
        <w:trPr>
          <w:trHeight w:val="367"/>
        </w:trPr>
        <w:tc>
          <w:tcPr>
            <w:tcW w:w="709" w:type="dxa"/>
            <w:vAlign w:val="center"/>
          </w:tcPr>
          <w:p w14:paraId="760E4E8D" w14:textId="77777777" w:rsidR="00ED4DB2" w:rsidRPr="0027082E" w:rsidRDefault="00ED4DB2" w:rsidP="007614BD">
            <w:pPr>
              <w:jc w:val="center"/>
            </w:pPr>
            <w:r w:rsidRPr="0027082E">
              <w:t>1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7D6C" w14:textId="77777777" w:rsidR="00ED4DB2" w:rsidRPr="0027082E" w:rsidRDefault="00ED4DB2" w:rsidP="00F45C97">
            <w:pPr>
              <w:jc w:val="center"/>
            </w:pPr>
            <w:r w:rsidRPr="0027082E"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57FF" w14:textId="77777777" w:rsidR="00ED4DB2" w:rsidRPr="0027082E" w:rsidRDefault="00ED4DB2" w:rsidP="00F45C97">
            <w:pPr>
              <w:jc w:val="center"/>
            </w:pPr>
            <w:r w:rsidRPr="0027082E">
              <w:t>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CC195" w14:textId="77777777" w:rsidR="00ED4DB2" w:rsidRPr="0027082E" w:rsidRDefault="00ED4DB2" w:rsidP="00F45C97">
            <w:pPr>
              <w:jc w:val="center"/>
            </w:pPr>
            <w:r w:rsidRPr="0027082E">
              <w:t>4</w:t>
            </w:r>
          </w:p>
        </w:tc>
      </w:tr>
      <w:tr w:rsidR="00ED4DB2" w:rsidRPr="0027082E" w14:paraId="12CADA8A" w14:textId="77777777" w:rsidTr="007614BD">
        <w:trPr>
          <w:trHeight w:val="360"/>
        </w:trPr>
        <w:tc>
          <w:tcPr>
            <w:tcW w:w="709" w:type="dxa"/>
            <w:vAlign w:val="center"/>
          </w:tcPr>
          <w:p w14:paraId="04E00727" w14:textId="77777777" w:rsidR="00ED4DB2" w:rsidRPr="0027082E" w:rsidRDefault="00ED4DB2" w:rsidP="007614BD">
            <w:pPr>
              <w:jc w:val="center"/>
            </w:pPr>
            <w:r w:rsidRPr="0027082E">
              <w:t>1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F2495" w14:textId="77777777" w:rsidR="00ED4DB2" w:rsidRPr="0027082E" w:rsidRDefault="00ED4DB2" w:rsidP="00F45C97">
            <w:pPr>
              <w:jc w:val="center"/>
            </w:pPr>
            <w:r w:rsidRPr="0027082E">
              <w:t>1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B3190" w14:textId="77777777" w:rsidR="00ED4DB2" w:rsidRPr="0027082E" w:rsidRDefault="00ED4DB2" w:rsidP="00F45C97">
            <w:pPr>
              <w:jc w:val="center"/>
            </w:pPr>
            <w:r w:rsidRPr="0027082E">
              <w:t>1, 2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91517" w14:textId="5957950A" w:rsidR="00ED4DB2" w:rsidRPr="0027082E" w:rsidRDefault="00D17E34" w:rsidP="00F45C97">
            <w:pPr>
              <w:jc w:val="center"/>
            </w:pPr>
            <w:r>
              <w:t>Один</w:t>
            </w:r>
            <w:r w:rsidRPr="0027082E">
              <w:t xml:space="preserve"> </w:t>
            </w:r>
            <w:r w:rsidR="00ED4DB2" w:rsidRPr="0027082E">
              <w:t xml:space="preserve">раз на </w:t>
            </w:r>
            <w:r>
              <w:t xml:space="preserve"> три </w:t>
            </w:r>
            <w:r w:rsidR="00ED4DB2" w:rsidRPr="0027082E">
              <w:t>роки</w:t>
            </w:r>
          </w:p>
        </w:tc>
      </w:tr>
      <w:tr w:rsidR="00ED4DB2" w:rsidRPr="0027082E" w14:paraId="47EF3097" w14:textId="77777777" w:rsidTr="007614BD">
        <w:trPr>
          <w:trHeight w:val="360"/>
        </w:trPr>
        <w:tc>
          <w:tcPr>
            <w:tcW w:w="709" w:type="dxa"/>
            <w:vAlign w:val="center"/>
          </w:tcPr>
          <w:p w14:paraId="0B2EA90B" w14:textId="77777777" w:rsidR="00ED4DB2" w:rsidRPr="0027082E" w:rsidRDefault="00ED4DB2" w:rsidP="007614BD">
            <w:pPr>
              <w:jc w:val="center"/>
            </w:pPr>
            <w:r w:rsidRPr="0027082E">
              <w:t>2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7B45C" w14:textId="77777777" w:rsidR="00ED4DB2" w:rsidRPr="0027082E" w:rsidRDefault="00ED4DB2" w:rsidP="00F45C97">
            <w:pPr>
              <w:jc w:val="center"/>
            </w:pPr>
            <w:r w:rsidRPr="0027082E">
              <w:t>1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EEB16" w14:textId="77777777" w:rsidR="00ED4DB2" w:rsidRPr="0027082E" w:rsidRDefault="00ED4DB2" w:rsidP="00F45C97">
            <w:pPr>
              <w:jc w:val="center"/>
            </w:pPr>
            <w:r w:rsidRPr="0027082E">
              <w:t>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D97A4" w14:textId="1BFB8245" w:rsidR="00ED4DB2" w:rsidRPr="0027082E" w:rsidRDefault="00D17E34" w:rsidP="00D17E34">
            <w:pPr>
              <w:jc w:val="center"/>
            </w:pPr>
            <w:r>
              <w:t>Один</w:t>
            </w:r>
            <w:r w:rsidRPr="0027082E">
              <w:t xml:space="preserve"> </w:t>
            </w:r>
            <w:r w:rsidR="00ED4DB2" w:rsidRPr="0027082E">
              <w:t xml:space="preserve">раз на </w:t>
            </w:r>
            <w:r>
              <w:t>два</w:t>
            </w:r>
            <w:r w:rsidR="00ED4DB2" w:rsidRPr="0027082E">
              <w:t xml:space="preserve"> роки</w:t>
            </w:r>
          </w:p>
        </w:tc>
      </w:tr>
      <w:tr w:rsidR="00ED4DB2" w:rsidRPr="0027082E" w14:paraId="23C377D1" w14:textId="77777777" w:rsidTr="007614BD">
        <w:trPr>
          <w:trHeight w:val="360"/>
        </w:trPr>
        <w:tc>
          <w:tcPr>
            <w:tcW w:w="709" w:type="dxa"/>
            <w:vAlign w:val="center"/>
          </w:tcPr>
          <w:p w14:paraId="3E27EBAB" w14:textId="77777777" w:rsidR="00ED4DB2" w:rsidRPr="0027082E" w:rsidRDefault="00ED4DB2" w:rsidP="007614BD">
            <w:pPr>
              <w:jc w:val="center"/>
            </w:pPr>
            <w:r w:rsidRPr="0027082E">
              <w:t>3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8DEA8" w14:textId="77777777" w:rsidR="00ED4DB2" w:rsidRPr="0027082E" w:rsidRDefault="00ED4DB2" w:rsidP="00F45C97">
            <w:pPr>
              <w:jc w:val="center"/>
            </w:pPr>
            <w:r w:rsidRPr="0027082E">
              <w:t>1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29D36" w14:textId="77777777" w:rsidR="00ED4DB2" w:rsidRPr="0027082E" w:rsidRDefault="00ED4DB2" w:rsidP="00F45C97">
            <w:pPr>
              <w:jc w:val="center"/>
            </w:pPr>
            <w:r w:rsidRPr="0027082E">
              <w:t>4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F3B7" w14:textId="50509477" w:rsidR="00ED4DB2" w:rsidRPr="0027082E" w:rsidRDefault="00D17E34" w:rsidP="00F45C97">
            <w:pPr>
              <w:jc w:val="center"/>
            </w:pPr>
            <w:r>
              <w:t>Один</w:t>
            </w:r>
            <w:r w:rsidR="00ED4DB2" w:rsidRPr="0027082E">
              <w:t xml:space="preserve"> раз на рік</w:t>
            </w:r>
          </w:p>
        </w:tc>
      </w:tr>
      <w:tr w:rsidR="00ED4DB2" w:rsidRPr="0027082E" w14:paraId="4A44FFC5" w14:textId="77777777" w:rsidTr="007614BD">
        <w:trPr>
          <w:trHeight w:val="360"/>
        </w:trPr>
        <w:tc>
          <w:tcPr>
            <w:tcW w:w="709" w:type="dxa"/>
            <w:vAlign w:val="center"/>
          </w:tcPr>
          <w:p w14:paraId="1CD85994" w14:textId="77777777" w:rsidR="00ED4DB2" w:rsidRPr="0027082E" w:rsidRDefault="00ED4DB2" w:rsidP="007614BD">
            <w:pPr>
              <w:jc w:val="center"/>
            </w:pPr>
            <w:r w:rsidRPr="0027082E">
              <w:t>4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155A3" w14:textId="77777777" w:rsidR="00ED4DB2" w:rsidRPr="0027082E" w:rsidRDefault="00ED4DB2" w:rsidP="00F45C97">
            <w:pPr>
              <w:jc w:val="center"/>
            </w:pPr>
            <w:r w:rsidRPr="0027082E"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F2401" w14:textId="77777777" w:rsidR="00ED4DB2" w:rsidRPr="0027082E" w:rsidRDefault="00ED4DB2" w:rsidP="00F45C97">
            <w:pPr>
              <w:jc w:val="center"/>
            </w:pPr>
            <w:r w:rsidRPr="0027082E">
              <w:t>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539BF" w14:textId="0205E419" w:rsidR="00ED4DB2" w:rsidRPr="0027082E" w:rsidRDefault="00D17E34" w:rsidP="00F45C97">
            <w:pPr>
              <w:jc w:val="center"/>
            </w:pPr>
            <w:r>
              <w:t>Один</w:t>
            </w:r>
            <w:r w:rsidR="00ED4DB2" w:rsidRPr="0027082E">
              <w:t xml:space="preserve"> раз на </w:t>
            </w:r>
            <w:r>
              <w:t>чотири</w:t>
            </w:r>
            <w:r w:rsidR="00ED4DB2" w:rsidRPr="0027082E">
              <w:t xml:space="preserve"> роки</w:t>
            </w:r>
          </w:p>
        </w:tc>
      </w:tr>
      <w:tr w:rsidR="00ED4DB2" w:rsidRPr="0027082E" w14:paraId="3B1C4EB5" w14:textId="77777777" w:rsidTr="007614BD">
        <w:trPr>
          <w:trHeight w:val="360"/>
        </w:trPr>
        <w:tc>
          <w:tcPr>
            <w:tcW w:w="709" w:type="dxa"/>
            <w:vAlign w:val="center"/>
          </w:tcPr>
          <w:p w14:paraId="541508EC" w14:textId="77777777" w:rsidR="00ED4DB2" w:rsidRPr="0027082E" w:rsidRDefault="00ED4DB2" w:rsidP="007614BD">
            <w:pPr>
              <w:jc w:val="center"/>
            </w:pPr>
            <w:r w:rsidRPr="0027082E">
              <w:t>5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43634" w14:textId="77777777" w:rsidR="00ED4DB2" w:rsidRPr="0027082E" w:rsidRDefault="00ED4DB2" w:rsidP="00F45C97">
            <w:pPr>
              <w:jc w:val="center"/>
            </w:pPr>
            <w:r w:rsidRPr="0027082E"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03505" w14:textId="77777777" w:rsidR="00ED4DB2" w:rsidRPr="0027082E" w:rsidRDefault="00ED4DB2" w:rsidP="00F45C97">
            <w:pPr>
              <w:jc w:val="center"/>
            </w:pPr>
            <w:r w:rsidRPr="0027082E">
              <w:t>2, 3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EC945" w14:textId="4A654432" w:rsidR="00ED4DB2" w:rsidRPr="0027082E" w:rsidRDefault="00D17E34" w:rsidP="00F45C97">
            <w:pPr>
              <w:jc w:val="center"/>
            </w:pPr>
            <w:r>
              <w:t>Один</w:t>
            </w:r>
            <w:r w:rsidRPr="0027082E" w:rsidDel="00D17E34">
              <w:t xml:space="preserve"> </w:t>
            </w:r>
            <w:r w:rsidR="00ED4DB2" w:rsidRPr="0027082E">
              <w:t xml:space="preserve">раз на </w:t>
            </w:r>
            <w:r>
              <w:t>три</w:t>
            </w:r>
            <w:r w:rsidR="00ED4DB2" w:rsidRPr="0027082E">
              <w:t xml:space="preserve"> роки</w:t>
            </w:r>
          </w:p>
        </w:tc>
      </w:tr>
      <w:tr w:rsidR="00ED4DB2" w:rsidRPr="0027082E" w14:paraId="75F8BED1" w14:textId="77777777" w:rsidTr="007614BD">
        <w:trPr>
          <w:trHeight w:val="360"/>
        </w:trPr>
        <w:tc>
          <w:tcPr>
            <w:tcW w:w="709" w:type="dxa"/>
            <w:vAlign w:val="center"/>
          </w:tcPr>
          <w:p w14:paraId="48044C25" w14:textId="77777777" w:rsidR="00ED4DB2" w:rsidRPr="0027082E" w:rsidRDefault="00ED4DB2" w:rsidP="007614BD">
            <w:pPr>
              <w:jc w:val="center"/>
            </w:pPr>
            <w:r w:rsidRPr="0027082E">
              <w:t>6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A11D6" w14:textId="77777777" w:rsidR="00ED4DB2" w:rsidRPr="0027082E" w:rsidRDefault="00ED4DB2" w:rsidP="00F45C97">
            <w:pPr>
              <w:jc w:val="center"/>
            </w:pPr>
            <w:r w:rsidRPr="0027082E"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B3C40" w14:textId="77777777" w:rsidR="00ED4DB2" w:rsidRPr="0027082E" w:rsidRDefault="00ED4DB2" w:rsidP="00F45C97">
            <w:pPr>
              <w:jc w:val="center"/>
            </w:pPr>
            <w:r w:rsidRPr="0027082E">
              <w:t>4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3203E" w14:textId="289D3FAC" w:rsidR="00ED4DB2" w:rsidRPr="0027082E" w:rsidRDefault="00D17E34" w:rsidP="00F45C97">
            <w:pPr>
              <w:jc w:val="center"/>
            </w:pPr>
            <w:r>
              <w:t>Один</w:t>
            </w:r>
            <w:r w:rsidR="00ED4DB2" w:rsidRPr="0027082E">
              <w:t xml:space="preserve"> раз на </w:t>
            </w:r>
            <w:r>
              <w:t>два</w:t>
            </w:r>
            <w:r w:rsidR="00ED4DB2" w:rsidRPr="0027082E">
              <w:t xml:space="preserve"> роки</w:t>
            </w:r>
          </w:p>
        </w:tc>
      </w:tr>
      <w:tr w:rsidR="00ED4DB2" w:rsidRPr="0027082E" w14:paraId="6B84B406" w14:textId="77777777" w:rsidTr="007614BD">
        <w:trPr>
          <w:trHeight w:val="360"/>
        </w:trPr>
        <w:tc>
          <w:tcPr>
            <w:tcW w:w="709" w:type="dxa"/>
            <w:vAlign w:val="center"/>
          </w:tcPr>
          <w:p w14:paraId="62BD3F06" w14:textId="77777777" w:rsidR="00ED4DB2" w:rsidRPr="0027082E" w:rsidRDefault="00ED4DB2" w:rsidP="007614BD">
            <w:pPr>
              <w:jc w:val="center"/>
            </w:pPr>
            <w:r w:rsidRPr="0027082E">
              <w:t>7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7C6FD" w14:textId="77777777" w:rsidR="00ED4DB2" w:rsidRPr="0027082E" w:rsidRDefault="00ED4DB2" w:rsidP="00F45C97">
            <w:pPr>
              <w:jc w:val="center"/>
            </w:pPr>
            <w:r w:rsidRPr="0027082E">
              <w:t>3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98A6A" w14:textId="77777777" w:rsidR="00ED4DB2" w:rsidRPr="0027082E" w:rsidRDefault="00ED4DB2" w:rsidP="00F45C97">
            <w:pPr>
              <w:jc w:val="center"/>
            </w:pPr>
            <w:r w:rsidRPr="0027082E">
              <w:t>1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FC852" w14:textId="4168E265" w:rsidR="00ED4DB2" w:rsidRPr="0027082E" w:rsidRDefault="00D17E34" w:rsidP="00F45C97">
            <w:pPr>
              <w:jc w:val="center"/>
            </w:pPr>
            <w:r>
              <w:t>Один</w:t>
            </w:r>
            <w:r w:rsidR="00ED4DB2" w:rsidRPr="0027082E">
              <w:t xml:space="preserve"> раз на </w:t>
            </w:r>
            <w:r>
              <w:t>пʼять</w:t>
            </w:r>
            <w:r w:rsidR="00ED4DB2" w:rsidRPr="0027082E">
              <w:t xml:space="preserve"> років</w:t>
            </w:r>
          </w:p>
        </w:tc>
      </w:tr>
      <w:tr w:rsidR="00ED4DB2" w:rsidRPr="0027082E" w14:paraId="22BCB1BC" w14:textId="77777777" w:rsidTr="007614BD">
        <w:trPr>
          <w:trHeight w:val="360"/>
        </w:trPr>
        <w:tc>
          <w:tcPr>
            <w:tcW w:w="709" w:type="dxa"/>
            <w:vAlign w:val="center"/>
          </w:tcPr>
          <w:p w14:paraId="5CFB39E5" w14:textId="77777777" w:rsidR="00ED4DB2" w:rsidRPr="0027082E" w:rsidRDefault="00ED4DB2" w:rsidP="007614BD">
            <w:pPr>
              <w:jc w:val="center"/>
            </w:pPr>
            <w:r w:rsidRPr="0027082E">
              <w:t>8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8FFCD" w14:textId="77777777" w:rsidR="00ED4DB2" w:rsidRPr="0027082E" w:rsidRDefault="00ED4DB2" w:rsidP="00F45C97">
            <w:pPr>
              <w:jc w:val="center"/>
            </w:pPr>
            <w:r w:rsidRPr="0027082E">
              <w:t>3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A2DC0" w14:textId="77777777" w:rsidR="00ED4DB2" w:rsidRPr="0027082E" w:rsidRDefault="00ED4DB2" w:rsidP="00F45C97">
            <w:pPr>
              <w:jc w:val="center"/>
            </w:pPr>
            <w:r w:rsidRPr="0027082E">
              <w:t>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9BCCB" w14:textId="166C5C59" w:rsidR="00ED4DB2" w:rsidRPr="0027082E" w:rsidRDefault="00D17E34" w:rsidP="00F45C97">
            <w:pPr>
              <w:jc w:val="center"/>
            </w:pPr>
            <w:r>
              <w:t>Один</w:t>
            </w:r>
            <w:r w:rsidR="00ED4DB2" w:rsidRPr="0027082E">
              <w:t xml:space="preserve"> раз на </w:t>
            </w:r>
            <w:r>
              <w:t>чотири</w:t>
            </w:r>
            <w:r w:rsidR="00ED4DB2" w:rsidRPr="0027082E">
              <w:t xml:space="preserve"> роки</w:t>
            </w:r>
          </w:p>
        </w:tc>
      </w:tr>
      <w:tr w:rsidR="00ED4DB2" w:rsidRPr="0027082E" w14:paraId="5AEC928F" w14:textId="77777777" w:rsidTr="007614BD">
        <w:trPr>
          <w:trHeight w:val="360"/>
        </w:trPr>
        <w:tc>
          <w:tcPr>
            <w:tcW w:w="709" w:type="dxa"/>
            <w:vAlign w:val="center"/>
          </w:tcPr>
          <w:p w14:paraId="3BFB2D39" w14:textId="77777777" w:rsidR="00ED4DB2" w:rsidRPr="0027082E" w:rsidRDefault="00ED4DB2" w:rsidP="007614BD">
            <w:pPr>
              <w:jc w:val="center"/>
            </w:pPr>
            <w:r w:rsidRPr="0027082E">
              <w:t>9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2B8D4" w14:textId="77777777" w:rsidR="00ED4DB2" w:rsidRPr="0027082E" w:rsidRDefault="00ED4DB2" w:rsidP="00F45C97">
            <w:pPr>
              <w:jc w:val="center"/>
            </w:pPr>
            <w:r w:rsidRPr="0027082E">
              <w:t>3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5DAE" w14:textId="77777777" w:rsidR="00ED4DB2" w:rsidRPr="0027082E" w:rsidRDefault="00ED4DB2" w:rsidP="00F45C97">
            <w:pPr>
              <w:jc w:val="center"/>
            </w:pPr>
            <w:r w:rsidRPr="0027082E">
              <w:t>3, 4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ACB0" w14:textId="03C369F0" w:rsidR="00ED4DB2" w:rsidRPr="0027082E" w:rsidRDefault="00D17E34" w:rsidP="00F45C97">
            <w:pPr>
              <w:jc w:val="center"/>
            </w:pPr>
            <w:r>
              <w:t>Один</w:t>
            </w:r>
            <w:r w:rsidR="00ED4DB2" w:rsidRPr="0027082E">
              <w:t xml:space="preserve"> раз на </w:t>
            </w:r>
            <w:r>
              <w:t>три</w:t>
            </w:r>
            <w:r w:rsidR="00ED4DB2" w:rsidRPr="0027082E">
              <w:t xml:space="preserve"> роки</w:t>
            </w:r>
          </w:p>
        </w:tc>
      </w:tr>
      <w:tr w:rsidR="00ED4DB2" w:rsidRPr="0027082E" w14:paraId="60C2911C" w14:textId="77777777" w:rsidTr="007614BD">
        <w:trPr>
          <w:trHeight w:val="360"/>
        </w:trPr>
        <w:tc>
          <w:tcPr>
            <w:tcW w:w="709" w:type="dxa"/>
            <w:vAlign w:val="center"/>
          </w:tcPr>
          <w:p w14:paraId="40BF61C0" w14:textId="77777777" w:rsidR="00ED4DB2" w:rsidRPr="0027082E" w:rsidRDefault="00ED4DB2" w:rsidP="007614BD">
            <w:pPr>
              <w:jc w:val="center"/>
            </w:pPr>
            <w:r w:rsidRPr="0027082E">
              <w:t>10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5D626" w14:textId="77777777" w:rsidR="00ED4DB2" w:rsidRPr="0027082E" w:rsidRDefault="00ED4DB2" w:rsidP="00F45C97">
            <w:pPr>
              <w:jc w:val="center"/>
            </w:pPr>
            <w:r w:rsidRPr="0027082E">
              <w:t>4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529A7" w14:textId="77777777" w:rsidR="00ED4DB2" w:rsidRPr="0027082E" w:rsidRDefault="00ED4DB2" w:rsidP="00F45C97">
            <w:pPr>
              <w:jc w:val="center"/>
            </w:pPr>
            <w:r w:rsidRPr="0027082E">
              <w:t>1, 2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A7D7" w14:textId="04BAAA17" w:rsidR="00ED4DB2" w:rsidRPr="0027082E" w:rsidRDefault="00D17E34" w:rsidP="00F45C97">
            <w:pPr>
              <w:jc w:val="center"/>
            </w:pPr>
            <w:r>
              <w:t>Один</w:t>
            </w:r>
            <w:r w:rsidR="00ED4DB2" w:rsidRPr="0027082E">
              <w:t xml:space="preserve"> раз на </w:t>
            </w:r>
            <w:r>
              <w:t>пʼять</w:t>
            </w:r>
            <w:r w:rsidR="00ED4DB2" w:rsidRPr="0027082E">
              <w:t xml:space="preserve"> років</w:t>
            </w:r>
          </w:p>
        </w:tc>
      </w:tr>
      <w:tr w:rsidR="00ED4DB2" w:rsidRPr="00D83ABD" w14:paraId="6133B4C6" w14:textId="77777777" w:rsidTr="007614BD">
        <w:trPr>
          <w:trHeight w:val="360"/>
        </w:trPr>
        <w:tc>
          <w:tcPr>
            <w:tcW w:w="709" w:type="dxa"/>
            <w:vAlign w:val="center"/>
          </w:tcPr>
          <w:p w14:paraId="2345CD3E" w14:textId="77777777" w:rsidR="00ED4DB2" w:rsidRPr="0027082E" w:rsidRDefault="00ED4DB2" w:rsidP="007614BD">
            <w:pPr>
              <w:jc w:val="center"/>
            </w:pPr>
            <w:r w:rsidRPr="0027082E">
              <w:t>11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F96D8" w14:textId="77777777" w:rsidR="00ED4DB2" w:rsidRPr="0027082E" w:rsidRDefault="00ED4DB2" w:rsidP="00F45C97">
            <w:pPr>
              <w:jc w:val="center"/>
            </w:pPr>
            <w:r w:rsidRPr="0027082E">
              <w:t>4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B5B5" w14:textId="77777777" w:rsidR="00ED4DB2" w:rsidRPr="0027082E" w:rsidRDefault="00ED4DB2" w:rsidP="00F45C97">
            <w:pPr>
              <w:jc w:val="center"/>
            </w:pPr>
            <w:r w:rsidRPr="0027082E">
              <w:t>3, 4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9C769" w14:textId="0F04FC4A" w:rsidR="00ED4DB2" w:rsidRPr="00D83ABD" w:rsidRDefault="00D17E34" w:rsidP="00F45C97">
            <w:pPr>
              <w:jc w:val="center"/>
            </w:pPr>
            <w:r>
              <w:t>Один</w:t>
            </w:r>
            <w:r w:rsidR="00ED4DB2" w:rsidRPr="0027082E">
              <w:t xml:space="preserve"> раз на </w:t>
            </w:r>
            <w:r>
              <w:t>чотири</w:t>
            </w:r>
            <w:r w:rsidR="00ED4DB2" w:rsidRPr="0027082E">
              <w:t xml:space="preserve"> роки</w:t>
            </w:r>
          </w:p>
        </w:tc>
      </w:tr>
    </w:tbl>
    <w:p w14:paraId="17AB0186" w14:textId="77777777" w:rsidR="00ED4DB2" w:rsidRPr="00D83ABD" w:rsidRDefault="00ED4DB2" w:rsidP="00ED4DB2">
      <w:pPr>
        <w:ind w:firstLine="709"/>
      </w:pPr>
    </w:p>
    <w:p w14:paraId="1666333F" w14:textId="77777777" w:rsidR="00ED4DB2" w:rsidRPr="00D83ABD" w:rsidRDefault="00ED4DB2" w:rsidP="00ED4DB2"/>
    <w:sectPr w:rsidR="00ED4DB2" w:rsidRPr="00D83ABD" w:rsidSect="00ED4DB2"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D97E1" w14:textId="77777777" w:rsidR="00DB37E3" w:rsidRDefault="00DB37E3" w:rsidP="00E53CCD">
      <w:r>
        <w:separator/>
      </w:r>
    </w:p>
  </w:endnote>
  <w:endnote w:type="continuationSeparator" w:id="0">
    <w:p w14:paraId="78E64C2D" w14:textId="77777777" w:rsidR="00DB37E3" w:rsidRDefault="00DB37E3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FA1AE" w14:textId="77777777" w:rsidR="00DB37E3" w:rsidRDefault="00DB37E3" w:rsidP="00E53CCD">
      <w:r>
        <w:separator/>
      </w:r>
    </w:p>
  </w:footnote>
  <w:footnote w:type="continuationSeparator" w:id="0">
    <w:p w14:paraId="39E0051A" w14:textId="77777777" w:rsidR="00DB37E3" w:rsidRDefault="00DB37E3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0EE10AC3" w14:textId="19B16FF2" w:rsidR="00646543" w:rsidRDefault="0064654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669163" w14:textId="77777777" w:rsidR="00646543" w:rsidRDefault="006465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8049874"/>
      <w:docPartObj>
        <w:docPartGallery w:val="Page Numbers (Top of Page)"/>
        <w:docPartUnique/>
      </w:docPartObj>
    </w:sdtPr>
    <w:sdtEndPr/>
    <w:sdtContent>
      <w:p w14:paraId="01A12D62" w14:textId="6B45F74A" w:rsidR="00646543" w:rsidRDefault="0064654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52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F56C658" w14:textId="77777777" w:rsidR="00646543" w:rsidRDefault="006465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53B2" w14:textId="5505E083" w:rsidR="00646543" w:rsidRDefault="00646543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35263">
      <w:rPr>
        <w:noProof/>
      </w:rPr>
      <w:t>13</w:t>
    </w:r>
    <w:r>
      <w:rPr>
        <w:noProof/>
      </w:rPr>
      <w:fldChar w:fldCharType="end"/>
    </w:r>
  </w:p>
  <w:p w14:paraId="1C7924E6" w14:textId="77777777" w:rsidR="00646543" w:rsidRPr="00F43659" w:rsidRDefault="00646543" w:rsidP="00F45C97">
    <w:pPr>
      <w:ind w:firstLine="11482"/>
      <w:rPr>
        <w:shd w:val="clear" w:color="auto" w:fill="FFFFFF"/>
        <w:lang w:eastAsia="ru-RU"/>
      </w:rPr>
    </w:pPr>
    <w:r w:rsidRPr="00F43659">
      <w:rPr>
        <w:shd w:val="clear" w:color="auto" w:fill="FFFFFF"/>
        <w:lang w:eastAsia="ru-RU"/>
      </w:rPr>
      <w:t xml:space="preserve">Продовження додатка </w:t>
    </w:r>
    <w:r>
      <w:rPr>
        <w:shd w:val="clear" w:color="auto" w:fill="FFFFFF"/>
        <w:lang w:eastAsia="ru-RU"/>
      </w:rPr>
      <w:t>1</w:t>
    </w:r>
  </w:p>
  <w:p w14:paraId="6E8939A2" w14:textId="77777777" w:rsidR="00646543" w:rsidRDefault="00646543" w:rsidP="00F45C97">
    <w:pPr>
      <w:pStyle w:val="a5"/>
      <w:ind w:firstLine="11482"/>
    </w:pPr>
    <w:r w:rsidRPr="00F43659">
      <w:rPr>
        <w:shd w:val="clear" w:color="auto" w:fill="FFFFFF"/>
        <w:lang w:eastAsia="ru-RU"/>
      </w:rPr>
      <w:t>Продовження таблиці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0E7E7" w14:textId="6F5F3470" w:rsidR="00646543" w:rsidRDefault="00646543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35263">
      <w:rPr>
        <w:noProof/>
      </w:rPr>
      <w:t>8</w:t>
    </w:r>
    <w:r>
      <w:rPr>
        <w:noProof/>
      </w:rPr>
      <w:fldChar w:fldCharType="end"/>
    </w:r>
  </w:p>
  <w:p w14:paraId="05FAFE8E" w14:textId="77777777" w:rsidR="00646543" w:rsidRPr="00F43659" w:rsidRDefault="00646543" w:rsidP="00F45C97">
    <w:pPr>
      <w:ind w:firstLine="11340"/>
      <w:rPr>
        <w:shd w:val="clear" w:color="auto" w:fill="FFFFFF"/>
        <w:lang w:eastAsia="ru-RU"/>
      </w:rPr>
    </w:pPr>
    <w:r w:rsidRPr="00F43659">
      <w:rPr>
        <w:shd w:val="clear" w:color="auto" w:fill="FFFFFF"/>
        <w:lang w:eastAsia="ru-RU"/>
      </w:rPr>
      <w:t xml:space="preserve">Продовження додатка </w:t>
    </w:r>
    <w:r>
      <w:rPr>
        <w:shd w:val="clear" w:color="auto" w:fill="FFFFFF"/>
        <w:lang w:eastAsia="ru-RU"/>
      </w:rPr>
      <w:t>2</w:t>
    </w:r>
  </w:p>
  <w:p w14:paraId="090453A6" w14:textId="77777777" w:rsidR="00646543" w:rsidRDefault="00646543" w:rsidP="00F45C97">
    <w:pPr>
      <w:pStyle w:val="a5"/>
      <w:ind w:firstLine="11340"/>
    </w:pPr>
    <w:r w:rsidRPr="00F43659">
      <w:rPr>
        <w:shd w:val="clear" w:color="auto" w:fill="FFFFFF"/>
        <w:lang w:eastAsia="ru-RU"/>
      </w:rPr>
      <w:t>Продовження таблиці</w:t>
    </w:r>
  </w:p>
  <w:p w14:paraId="0609B46A" w14:textId="77777777" w:rsidR="00646543" w:rsidRDefault="00646543" w:rsidP="00F45C97">
    <w:pPr>
      <w:pStyle w:val="a5"/>
      <w:ind w:firstLine="1134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4B332" w14:textId="309E7540" w:rsidR="00646543" w:rsidRDefault="00646543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35263">
      <w:rPr>
        <w:noProof/>
      </w:rPr>
      <w:t>6</w:t>
    </w:r>
    <w:r>
      <w:rPr>
        <w:noProof/>
      </w:rPr>
      <w:fldChar w:fldCharType="end"/>
    </w:r>
  </w:p>
  <w:p w14:paraId="4204C19D" w14:textId="77777777" w:rsidR="00646543" w:rsidRPr="00F43659" w:rsidRDefault="00646543" w:rsidP="00F45C97">
    <w:pPr>
      <w:ind w:firstLine="11340"/>
      <w:rPr>
        <w:shd w:val="clear" w:color="auto" w:fill="FFFFFF"/>
        <w:lang w:eastAsia="ru-RU"/>
      </w:rPr>
    </w:pPr>
    <w:r w:rsidRPr="00F43659">
      <w:rPr>
        <w:shd w:val="clear" w:color="auto" w:fill="FFFFFF"/>
        <w:lang w:eastAsia="ru-RU"/>
      </w:rPr>
      <w:t xml:space="preserve">Продовження додатка </w:t>
    </w:r>
    <w:r>
      <w:rPr>
        <w:shd w:val="clear" w:color="auto" w:fill="FFFFFF"/>
        <w:lang w:eastAsia="ru-RU"/>
      </w:rPr>
      <w:t>3</w:t>
    </w:r>
  </w:p>
  <w:p w14:paraId="4B84891D" w14:textId="77777777" w:rsidR="00646543" w:rsidRDefault="00646543" w:rsidP="00F45C97">
    <w:pPr>
      <w:pStyle w:val="a5"/>
      <w:ind w:firstLine="11340"/>
    </w:pPr>
    <w:r w:rsidRPr="00F43659">
      <w:rPr>
        <w:shd w:val="clear" w:color="auto" w:fill="FFFFFF"/>
        <w:lang w:eastAsia="ru-RU"/>
      </w:rPr>
      <w:t>Продовження таблиці</w:t>
    </w:r>
  </w:p>
  <w:p w14:paraId="368CF8A6" w14:textId="77777777" w:rsidR="00646543" w:rsidRDefault="00646543" w:rsidP="00F45C97">
    <w:pPr>
      <w:pStyle w:val="a5"/>
      <w:ind w:firstLine="1134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1AF65" w14:textId="2DA1B4C0" w:rsidR="00646543" w:rsidRDefault="00646543">
    <w:pPr>
      <w:pStyle w:val="a5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35263">
      <w:rPr>
        <w:noProof/>
      </w:rPr>
      <w:t>2</w:t>
    </w:r>
    <w:r>
      <w:rPr>
        <w:noProof/>
      </w:rPr>
      <w:fldChar w:fldCharType="end"/>
    </w:r>
  </w:p>
  <w:p w14:paraId="605285AA" w14:textId="0A70ADE8" w:rsidR="00646543" w:rsidRDefault="00646543" w:rsidP="00C678B7">
    <w:pPr>
      <w:pStyle w:val="a5"/>
      <w:jc w:val="right"/>
    </w:pPr>
    <w:r>
      <w:rPr>
        <w:noProof/>
      </w:rPr>
      <w:t>Продовження додатка 4</w:t>
    </w:r>
  </w:p>
  <w:p w14:paraId="246263ED" w14:textId="1C0A666B" w:rsidR="00646543" w:rsidRDefault="00646543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CB847" w14:textId="77777777" w:rsidR="00646543" w:rsidRDefault="00646543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E61FE" w14:textId="7AD02046" w:rsidR="00646543" w:rsidRDefault="00646543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35263">
      <w:rPr>
        <w:noProof/>
      </w:rPr>
      <w:t>2</w:t>
    </w:r>
    <w:r>
      <w:rPr>
        <w:noProof/>
      </w:rPr>
      <w:fldChar w:fldCharType="end"/>
    </w:r>
  </w:p>
  <w:p w14:paraId="4BA25053" w14:textId="77777777" w:rsidR="00646543" w:rsidRDefault="00646543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C0CE6FB" wp14:editId="0605E661">
              <wp:simplePos x="0" y="0"/>
              <wp:positionH relativeFrom="margin">
                <wp:align>right</wp:align>
              </wp:positionH>
              <wp:positionV relativeFrom="paragraph">
                <wp:posOffset>59690</wp:posOffset>
              </wp:positionV>
              <wp:extent cx="2160270" cy="500380"/>
              <wp:effectExtent l="0" t="0" r="0" b="0"/>
              <wp:wrapNone/>
              <wp:docPr id="5" name="Текстове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80BAD" w14:textId="77777777" w:rsidR="00646543" w:rsidRPr="00F43659" w:rsidRDefault="00646543" w:rsidP="00F45C97">
                          <w:pPr>
                            <w:rPr>
                              <w:shd w:val="clear" w:color="auto" w:fill="FFFFFF"/>
                              <w:lang w:eastAsia="ru-RU"/>
                            </w:rPr>
                          </w:pPr>
                          <w:r w:rsidRPr="00F43659">
                            <w:rPr>
                              <w:shd w:val="clear" w:color="auto" w:fill="FFFFFF"/>
                              <w:lang w:eastAsia="ru-RU"/>
                            </w:rPr>
                            <w:t xml:space="preserve">Продовження додатка </w:t>
                          </w:r>
                          <w:r>
                            <w:rPr>
                              <w:shd w:val="clear" w:color="auto" w:fill="FFFFFF"/>
                              <w:lang w:eastAsia="ru-RU"/>
                            </w:rPr>
                            <w:t>5</w:t>
                          </w:r>
                        </w:p>
                        <w:p w14:paraId="1E04967C" w14:textId="77777777" w:rsidR="00646543" w:rsidRPr="00F43659" w:rsidRDefault="00646543" w:rsidP="00F45C97">
                          <w:pPr>
                            <w:rPr>
                              <w:shd w:val="clear" w:color="auto" w:fill="FFFFFF"/>
                              <w:lang w:eastAsia="ru-RU"/>
                            </w:rPr>
                          </w:pPr>
                          <w:r w:rsidRPr="00F43659">
                            <w:rPr>
                              <w:shd w:val="clear" w:color="auto" w:fill="FFFFFF"/>
                              <w:lang w:eastAsia="ru-RU"/>
                            </w:rPr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0CE6FB" id="_x0000_t202" coordsize="21600,21600" o:spt="202" path="m,l,21600r21600,l21600,xe">
              <v:stroke joinstyle="miter"/>
              <v:path gradientshapeok="t" o:connecttype="rect"/>
            </v:shapetype>
            <v:shape id="Текстове поле 2" o:spid="_x0000_s1026" type="#_x0000_t202" style="position:absolute;left:0;text-align:left;margin-left:118.9pt;margin-top:4.7pt;width:170.1pt;height:39.4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" stroked="f">
              <v:textbox style="mso-fit-shape-to-text:t">
                <w:txbxContent>
                  <w:p w14:paraId="02980BAD" w14:textId="77777777" w:rsidR="00646543" w:rsidRPr="00F43659" w:rsidRDefault="00646543" w:rsidP="00F45C97">
                    <w:pPr>
                      <w:rPr>
                        <w:shd w:val="clear" w:color="auto" w:fill="FFFFFF"/>
                        <w:lang w:eastAsia="ru-RU"/>
                      </w:rPr>
                    </w:pPr>
                    <w:r w:rsidRPr="00F43659">
                      <w:rPr>
                        <w:shd w:val="clear" w:color="auto" w:fill="FFFFFF"/>
                        <w:lang w:eastAsia="ru-RU"/>
                      </w:rPr>
                      <w:t xml:space="preserve">Продовження додатка </w:t>
                    </w:r>
                    <w:r>
                      <w:rPr>
                        <w:shd w:val="clear" w:color="auto" w:fill="FFFFFF"/>
                        <w:lang w:eastAsia="ru-RU"/>
                      </w:rPr>
                      <w:t>5</w:t>
                    </w:r>
                  </w:p>
                  <w:p w14:paraId="1E04967C" w14:textId="77777777" w:rsidR="00646543" w:rsidRPr="00F43659" w:rsidRDefault="00646543" w:rsidP="00F45C97">
                    <w:pPr>
                      <w:rPr>
                        <w:shd w:val="clear" w:color="auto" w:fill="FFFFFF"/>
                        <w:lang w:eastAsia="ru-RU"/>
                      </w:rPr>
                    </w:pPr>
                    <w:r w:rsidRPr="00F43659">
                      <w:rPr>
                        <w:shd w:val="clear" w:color="auto" w:fill="FFFFFF"/>
                        <w:lang w:eastAsia="ru-RU"/>
                      </w:rPr>
                      <w:t>Продовження таблиці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CF04E27" w14:textId="77777777" w:rsidR="00646543" w:rsidRDefault="00646543">
    <w:pPr>
      <w:pStyle w:val="a5"/>
    </w:pPr>
  </w:p>
  <w:p w14:paraId="19F30B62" w14:textId="77777777" w:rsidR="00646543" w:rsidRDefault="00646543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DED87" w14:textId="7C200F6C" w:rsidR="00646543" w:rsidRDefault="00646543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35263">
      <w:rPr>
        <w:noProof/>
      </w:rPr>
      <w:t>5</w:t>
    </w:r>
    <w:r>
      <w:rPr>
        <w:noProof/>
      </w:rPr>
      <w:fldChar w:fldCharType="end"/>
    </w:r>
  </w:p>
  <w:p w14:paraId="7C3E0CC3" w14:textId="77777777" w:rsidR="00646543" w:rsidRDefault="00646543">
    <w:pPr>
      <w:pStyle w:val="a5"/>
    </w:pPr>
  </w:p>
  <w:p w14:paraId="737C81EF" w14:textId="77777777" w:rsidR="00646543" w:rsidRDefault="00646543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B63DDBF" wp14:editId="313EBF4E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2160270" cy="500380"/>
              <wp:effectExtent l="0" t="0" r="0" b="0"/>
              <wp:wrapNone/>
              <wp:docPr id="6" name="Текстове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8E33F1" w14:textId="77777777" w:rsidR="00646543" w:rsidRPr="00F43659" w:rsidRDefault="00646543" w:rsidP="00F45C97">
                          <w:pPr>
                            <w:rPr>
                              <w:shd w:val="clear" w:color="auto" w:fill="FFFFFF"/>
                              <w:lang w:eastAsia="ru-RU"/>
                            </w:rPr>
                          </w:pPr>
                          <w:r w:rsidRPr="00F43659">
                            <w:rPr>
                              <w:shd w:val="clear" w:color="auto" w:fill="FFFFFF"/>
                              <w:lang w:eastAsia="ru-RU"/>
                            </w:rPr>
                            <w:t xml:space="preserve">Продовження додатка </w:t>
                          </w:r>
                          <w:r>
                            <w:rPr>
                              <w:shd w:val="clear" w:color="auto" w:fill="FFFFFF"/>
                              <w:lang w:eastAsia="ru-RU"/>
                            </w:rPr>
                            <w:t>6</w:t>
                          </w:r>
                        </w:p>
                        <w:p w14:paraId="3C6BB098" w14:textId="77777777" w:rsidR="00646543" w:rsidRPr="00F43659" w:rsidRDefault="00646543" w:rsidP="00F45C97">
                          <w:pPr>
                            <w:rPr>
                              <w:shd w:val="clear" w:color="auto" w:fill="FFFFFF"/>
                              <w:lang w:eastAsia="ru-RU"/>
                            </w:rPr>
                          </w:pPr>
                          <w:r w:rsidRPr="00F43659">
                            <w:rPr>
                              <w:shd w:val="clear" w:color="auto" w:fill="FFFFFF"/>
                              <w:lang w:eastAsia="ru-RU"/>
                            </w:rPr>
                            <w:t>Продовження таблиці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63DD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8.9pt;margin-top:1.05pt;width:170.1pt;height:39.4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" stroked="f">
              <v:textbox style="mso-fit-shape-to-text:t">
                <w:txbxContent>
                  <w:p w14:paraId="7A8E33F1" w14:textId="77777777" w:rsidR="00646543" w:rsidRPr="00F43659" w:rsidRDefault="00646543" w:rsidP="00F45C97">
                    <w:pPr>
                      <w:rPr>
                        <w:shd w:val="clear" w:color="auto" w:fill="FFFFFF"/>
                        <w:lang w:eastAsia="ru-RU"/>
                      </w:rPr>
                    </w:pPr>
                    <w:r w:rsidRPr="00F43659">
                      <w:rPr>
                        <w:shd w:val="clear" w:color="auto" w:fill="FFFFFF"/>
                        <w:lang w:eastAsia="ru-RU"/>
                      </w:rPr>
                      <w:t xml:space="preserve">Продовження додатка </w:t>
                    </w:r>
                    <w:r>
                      <w:rPr>
                        <w:shd w:val="clear" w:color="auto" w:fill="FFFFFF"/>
                        <w:lang w:eastAsia="ru-RU"/>
                      </w:rPr>
                      <w:t>6</w:t>
                    </w:r>
                  </w:p>
                  <w:p w14:paraId="3C6BB098" w14:textId="77777777" w:rsidR="00646543" w:rsidRPr="00F43659" w:rsidRDefault="00646543" w:rsidP="00F45C97">
                    <w:pPr>
                      <w:rPr>
                        <w:shd w:val="clear" w:color="auto" w:fill="FFFFFF"/>
                        <w:lang w:eastAsia="ru-RU"/>
                      </w:rPr>
                    </w:pPr>
                    <w:r w:rsidRPr="00F43659">
                      <w:rPr>
                        <w:shd w:val="clear" w:color="auto" w:fill="FFFFFF"/>
                        <w:lang w:eastAsia="ru-RU"/>
                      </w:rPr>
                      <w:t>Продовження таблиці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A9199A6" w14:textId="77777777" w:rsidR="00646543" w:rsidRDefault="00646543">
    <w:pPr>
      <w:pStyle w:val="a5"/>
    </w:pPr>
  </w:p>
  <w:p w14:paraId="0EC03778" w14:textId="77777777" w:rsidR="00646543" w:rsidRDefault="006465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6F48"/>
    <w:multiLevelType w:val="hybridMultilevel"/>
    <w:tmpl w:val="631EE7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84F0C"/>
    <w:multiLevelType w:val="hybridMultilevel"/>
    <w:tmpl w:val="ADBCB164"/>
    <w:lvl w:ilvl="0" w:tplc="97E24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346B7"/>
    <w:multiLevelType w:val="hybridMultilevel"/>
    <w:tmpl w:val="61FEBF70"/>
    <w:lvl w:ilvl="0" w:tplc="44F03A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4037C"/>
    <w:multiLevelType w:val="multilevel"/>
    <w:tmpl w:val="92A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91D7E"/>
    <w:multiLevelType w:val="hybridMultilevel"/>
    <w:tmpl w:val="1BBC81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76D87"/>
    <w:multiLevelType w:val="hybridMultilevel"/>
    <w:tmpl w:val="EA96115E"/>
    <w:lvl w:ilvl="0" w:tplc="47366B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C7D03AD"/>
    <w:multiLevelType w:val="hybridMultilevel"/>
    <w:tmpl w:val="969A399A"/>
    <w:lvl w:ilvl="0" w:tplc="F318770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5402D2"/>
    <w:multiLevelType w:val="hybridMultilevel"/>
    <w:tmpl w:val="7D189CAE"/>
    <w:lvl w:ilvl="0" w:tplc="645A6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1A112E"/>
    <w:multiLevelType w:val="hybridMultilevel"/>
    <w:tmpl w:val="1494B9E2"/>
    <w:lvl w:ilvl="0" w:tplc="64604B3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5F43AF"/>
    <w:multiLevelType w:val="hybridMultilevel"/>
    <w:tmpl w:val="E870D256"/>
    <w:lvl w:ilvl="0" w:tplc="C802B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445454"/>
    <w:multiLevelType w:val="hybridMultilevel"/>
    <w:tmpl w:val="AF0E27B8"/>
    <w:lvl w:ilvl="0" w:tplc="DD3497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9E7671"/>
    <w:multiLevelType w:val="hybridMultilevel"/>
    <w:tmpl w:val="9EE8AD30"/>
    <w:lvl w:ilvl="0" w:tplc="8B6E87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B0500A4"/>
    <w:multiLevelType w:val="hybridMultilevel"/>
    <w:tmpl w:val="0E2AE5F2"/>
    <w:lvl w:ilvl="0" w:tplc="686694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DF7302"/>
    <w:multiLevelType w:val="hybridMultilevel"/>
    <w:tmpl w:val="6F28C5A6"/>
    <w:lvl w:ilvl="0" w:tplc="F272C3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22385"/>
    <w:multiLevelType w:val="hybridMultilevel"/>
    <w:tmpl w:val="7D189CAE"/>
    <w:lvl w:ilvl="0" w:tplc="645A6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AC53B9F"/>
    <w:multiLevelType w:val="hybridMultilevel"/>
    <w:tmpl w:val="A7F6FD4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A72D6"/>
    <w:multiLevelType w:val="hybridMultilevel"/>
    <w:tmpl w:val="A6BC1866"/>
    <w:lvl w:ilvl="0" w:tplc="F2E6189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F9F40DC"/>
    <w:multiLevelType w:val="hybridMultilevel"/>
    <w:tmpl w:val="F8DE14CE"/>
    <w:lvl w:ilvl="0" w:tplc="B44A0DE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D96C45"/>
    <w:multiLevelType w:val="hybridMultilevel"/>
    <w:tmpl w:val="6F28C5A6"/>
    <w:lvl w:ilvl="0" w:tplc="F272C3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95FAE"/>
    <w:multiLevelType w:val="hybridMultilevel"/>
    <w:tmpl w:val="6F28C5A6"/>
    <w:lvl w:ilvl="0" w:tplc="F272C35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1701C"/>
    <w:multiLevelType w:val="hybridMultilevel"/>
    <w:tmpl w:val="49A4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8516D"/>
    <w:multiLevelType w:val="hybridMultilevel"/>
    <w:tmpl w:val="F9F4A5B2"/>
    <w:lvl w:ilvl="0" w:tplc="36F4B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BE64807"/>
    <w:multiLevelType w:val="hybridMultilevel"/>
    <w:tmpl w:val="5D4EF4F8"/>
    <w:lvl w:ilvl="0" w:tplc="2B023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E1F219F"/>
    <w:multiLevelType w:val="hybridMultilevel"/>
    <w:tmpl w:val="49A4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A3E61"/>
    <w:multiLevelType w:val="hybridMultilevel"/>
    <w:tmpl w:val="D1A2D978"/>
    <w:lvl w:ilvl="0" w:tplc="DAB4D9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0C7DBA"/>
    <w:multiLevelType w:val="hybridMultilevel"/>
    <w:tmpl w:val="FCFCD556"/>
    <w:lvl w:ilvl="0" w:tplc="91DC4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58B9"/>
    <w:multiLevelType w:val="hybridMultilevel"/>
    <w:tmpl w:val="D228F9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3D49"/>
    <w:multiLevelType w:val="hybridMultilevel"/>
    <w:tmpl w:val="A34C35BA"/>
    <w:lvl w:ilvl="0" w:tplc="40960B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4F2BEA"/>
    <w:multiLevelType w:val="hybridMultilevel"/>
    <w:tmpl w:val="EA96115E"/>
    <w:lvl w:ilvl="0" w:tplc="47366B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986EDE"/>
    <w:multiLevelType w:val="hybridMultilevel"/>
    <w:tmpl w:val="55CE428C"/>
    <w:lvl w:ilvl="0" w:tplc="792CED5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4983AC3"/>
    <w:multiLevelType w:val="hybridMultilevel"/>
    <w:tmpl w:val="A2F88390"/>
    <w:lvl w:ilvl="0" w:tplc="47366B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D504C69"/>
    <w:multiLevelType w:val="hybridMultilevel"/>
    <w:tmpl w:val="3DD0CEAC"/>
    <w:lvl w:ilvl="0" w:tplc="ECAE88EC">
      <w:start w:val="15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00" w:hanging="360"/>
      </w:pPr>
    </w:lvl>
    <w:lvl w:ilvl="2" w:tplc="0422001B" w:tentative="1">
      <w:start w:val="1"/>
      <w:numFmt w:val="lowerRoman"/>
      <w:lvlText w:val="%3."/>
      <w:lvlJc w:val="right"/>
      <w:pPr>
        <w:ind w:left="2120" w:hanging="180"/>
      </w:pPr>
    </w:lvl>
    <w:lvl w:ilvl="3" w:tplc="0422000F" w:tentative="1">
      <w:start w:val="1"/>
      <w:numFmt w:val="decimal"/>
      <w:lvlText w:val="%4."/>
      <w:lvlJc w:val="left"/>
      <w:pPr>
        <w:ind w:left="2840" w:hanging="360"/>
      </w:pPr>
    </w:lvl>
    <w:lvl w:ilvl="4" w:tplc="04220019" w:tentative="1">
      <w:start w:val="1"/>
      <w:numFmt w:val="lowerLetter"/>
      <w:lvlText w:val="%5."/>
      <w:lvlJc w:val="left"/>
      <w:pPr>
        <w:ind w:left="3560" w:hanging="360"/>
      </w:pPr>
    </w:lvl>
    <w:lvl w:ilvl="5" w:tplc="0422001B" w:tentative="1">
      <w:start w:val="1"/>
      <w:numFmt w:val="lowerRoman"/>
      <w:lvlText w:val="%6."/>
      <w:lvlJc w:val="right"/>
      <w:pPr>
        <w:ind w:left="4280" w:hanging="180"/>
      </w:pPr>
    </w:lvl>
    <w:lvl w:ilvl="6" w:tplc="0422000F" w:tentative="1">
      <w:start w:val="1"/>
      <w:numFmt w:val="decimal"/>
      <w:lvlText w:val="%7."/>
      <w:lvlJc w:val="left"/>
      <w:pPr>
        <w:ind w:left="5000" w:hanging="360"/>
      </w:pPr>
    </w:lvl>
    <w:lvl w:ilvl="7" w:tplc="04220019" w:tentative="1">
      <w:start w:val="1"/>
      <w:numFmt w:val="lowerLetter"/>
      <w:lvlText w:val="%8."/>
      <w:lvlJc w:val="left"/>
      <w:pPr>
        <w:ind w:left="5720" w:hanging="360"/>
      </w:pPr>
    </w:lvl>
    <w:lvl w:ilvl="8" w:tplc="0422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10"/>
  </w:num>
  <w:num w:numId="6">
    <w:abstractNumId w:val="29"/>
  </w:num>
  <w:num w:numId="7">
    <w:abstractNumId w:val="26"/>
  </w:num>
  <w:num w:numId="8">
    <w:abstractNumId w:val="25"/>
  </w:num>
  <w:num w:numId="9">
    <w:abstractNumId w:val="2"/>
  </w:num>
  <w:num w:numId="10">
    <w:abstractNumId w:val="22"/>
  </w:num>
  <w:num w:numId="11">
    <w:abstractNumId w:val="0"/>
  </w:num>
  <w:num w:numId="12">
    <w:abstractNumId w:val="14"/>
  </w:num>
  <w:num w:numId="13">
    <w:abstractNumId w:val="15"/>
  </w:num>
  <w:num w:numId="14">
    <w:abstractNumId w:val="33"/>
  </w:num>
  <w:num w:numId="15">
    <w:abstractNumId w:val="1"/>
  </w:num>
  <w:num w:numId="16">
    <w:abstractNumId w:val="9"/>
  </w:num>
  <w:num w:numId="17">
    <w:abstractNumId w:val="27"/>
  </w:num>
  <w:num w:numId="18">
    <w:abstractNumId w:val="23"/>
  </w:num>
  <w:num w:numId="19">
    <w:abstractNumId w:val="21"/>
  </w:num>
  <w:num w:numId="20">
    <w:abstractNumId w:val="20"/>
  </w:num>
  <w:num w:numId="21">
    <w:abstractNumId w:val="8"/>
  </w:num>
  <w:num w:numId="22">
    <w:abstractNumId w:val="4"/>
  </w:num>
  <w:num w:numId="23">
    <w:abstractNumId w:val="16"/>
  </w:num>
  <w:num w:numId="24">
    <w:abstractNumId w:val="30"/>
  </w:num>
  <w:num w:numId="25">
    <w:abstractNumId w:val="32"/>
  </w:num>
  <w:num w:numId="26">
    <w:abstractNumId w:val="6"/>
  </w:num>
  <w:num w:numId="27">
    <w:abstractNumId w:val="13"/>
  </w:num>
  <w:num w:numId="28">
    <w:abstractNumId w:val="24"/>
  </w:num>
  <w:num w:numId="29">
    <w:abstractNumId w:val="28"/>
  </w:num>
  <w:num w:numId="30">
    <w:abstractNumId w:val="18"/>
  </w:num>
  <w:num w:numId="31">
    <w:abstractNumId w:val="17"/>
  </w:num>
  <w:num w:numId="32">
    <w:abstractNumId w:val="5"/>
  </w:num>
  <w:num w:numId="33">
    <w:abstractNumId w:val="3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4B2"/>
    <w:rsid w:val="00001DB1"/>
    <w:rsid w:val="00002E91"/>
    <w:rsid w:val="00003C9A"/>
    <w:rsid w:val="00004A0B"/>
    <w:rsid w:val="000064FA"/>
    <w:rsid w:val="000069AF"/>
    <w:rsid w:val="00010D44"/>
    <w:rsid w:val="0001196F"/>
    <w:rsid w:val="00012407"/>
    <w:rsid w:val="0001585C"/>
    <w:rsid w:val="00015CF3"/>
    <w:rsid w:val="00015FDE"/>
    <w:rsid w:val="00017B39"/>
    <w:rsid w:val="0002487E"/>
    <w:rsid w:val="00024D53"/>
    <w:rsid w:val="0002596B"/>
    <w:rsid w:val="000271C0"/>
    <w:rsid w:val="00027BF3"/>
    <w:rsid w:val="0003161A"/>
    <w:rsid w:val="0003331E"/>
    <w:rsid w:val="00033779"/>
    <w:rsid w:val="000342A5"/>
    <w:rsid w:val="0003793C"/>
    <w:rsid w:val="00040AC3"/>
    <w:rsid w:val="00041B49"/>
    <w:rsid w:val="00041FA3"/>
    <w:rsid w:val="00046AEC"/>
    <w:rsid w:val="00053A23"/>
    <w:rsid w:val="00053A7E"/>
    <w:rsid w:val="000543C6"/>
    <w:rsid w:val="00054977"/>
    <w:rsid w:val="00056DBF"/>
    <w:rsid w:val="000600A8"/>
    <w:rsid w:val="00061C52"/>
    <w:rsid w:val="00063480"/>
    <w:rsid w:val="000638F2"/>
    <w:rsid w:val="00067168"/>
    <w:rsid w:val="0007173C"/>
    <w:rsid w:val="000769EA"/>
    <w:rsid w:val="0008058F"/>
    <w:rsid w:val="00082D2D"/>
    <w:rsid w:val="00087BB8"/>
    <w:rsid w:val="000918E8"/>
    <w:rsid w:val="00094990"/>
    <w:rsid w:val="00094D03"/>
    <w:rsid w:val="00095BA7"/>
    <w:rsid w:val="00096A5E"/>
    <w:rsid w:val="000A1B88"/>
    <w:rsid w:val="000B11A8"/>
    <w:rsid w:val="000B1356"/>
    <w:rsid w:val="000B2315"/>
    <w:rsid w:val="000B25BA"/>
    <w:rsid w:val="000B2990"/>
    <w:rsid w:val="000B2B87"/>
    <w:rsid w:val="000B328F"/>
    <w:rsid w:val="000B40F2"/>
    <w:rsid w:val="000C21D9"/>
    <w:rsid w:val="000C473A"/>
    <w:rsid w:val="000C53F2"/>
    <w:rsid w:val="000C571C"/>
    <w:rsid w:val="000D36B1"/>
    <w:rsid w:val="000D3B14"/>
    <w:rsid w:val="000D4932"/>
    <w:rsid w:val="000D4C63"/>
    <w:rsid w:val="000D59EF"/>
    <w:rsid w:val="000D778F"/>
    <w:rsid w:val="000E06B9"/>
    <w:rsid w:val="000E0CB3"/>
    <w:rsid w:val="000E1445"/>
    <w:rsid w:val="000E16E5"/>
    <w:rsid w:val="000E203D"/>
    <w:rsid w:val="000E5B8C"/>
    <w:rsid w:val="000E7A13"/>
    <w:rsid w:val="000F0A6A"/>
    <w:rsid w:val="000F32CC"/>
    <w:rsid w:val="000F66A7"/>
    <w:rsid w:val="00100D98"/>
    <w:rsid w:val="001016FD"/>
    <w:rsid w:val="0010613A"/>
    <w:rsid w:val="00106229"/>
    <w:rsid w:val="001071E8"/>
    <w:rsid w:val="00110CF0"/>
    <w:rsid w:val="0011128B"/>
    <w:rsid w:val="00112107"/>
    <w:rsid w:val="00115E2C"/>
    <w:rsid w:val="00115ECF"/>
    <w:rsid w:val="0012178C"/>
    <w:rsid w:val="0012249D"/>
    <w:rsid w:val="00122B34"/>
    <w:rsid w:val="00124634"/>
    <w:rsid w:val="001375FA"/>
    <w:rsid w:val="00141AA8"/>
    <w:rsid w:val="001479A6"/>
    <w:rsid w:val="00155233"/>
    <w:rsid w:val="001631E2"/>
    <w:rsid w:val="0016588E"/>
    <w:rsid w:val="001716B0"/>
    <w:rsid w:val="001740C0"/>
    <w:rsid w:val="0017434D"/>
    <w:rsid w:val="00175998"/>
    <w:rsid w:val="00176B4B"/>
    <w:rsid w:val="001801F5"/>
    <w:rsid w:val="001812A5"/>
    <w:rsid w:val="00181D5F"/>
    <w:rsid w:val="001821D7"/>
    <w:rsid w:val="00190E1A"/>
    <w:rsid w:val="00195472"/>
    <w:rsid w:val="00197BFA"/>
    <w:rsid w:val="001A0EE5"/>
    <w:rsid w:val="001A16FA"/>
    <w:rsid w:val="001A437C"/>
    <w:rsid w:val="001A4CB9"/>
    <w:rsid w:val="001A5692"/>
    <w:rsid w:val="001A630E"/>
    <w:rsid w:val="001A6795"/>
    <w:rsid w:val="001B1073"/>
    <w:rsid w:val="001C0887"/>
    <w:rsid w:val="001C1290"/>
    <w:rsid w:val="001C206C"/>
    <w:rsid w:val="001C433D"/>
    <w:rsid w:val="001C503D"/>
    <w:rsid w:val="001C6E7D"/>
    <w:rsid w:val="001D18BD"/>
    <w:rsid w:val="001D20DD"/>
    <w:rsid w:val="001D3D02"/>
    <w:rsid w:val="001D487A"/>
    <w:rsid w:val="001D667F"/>
    <w:rsid w:val="001E00E6"/>
    <w:rsid w:val="001E61EF"/>
    <w:rsid w:val="001E7BFE"/>
    <w:rsid w:val="001F28FF"/>
    <w:rsid w:val="001F6BE0"/>
    <w:rsid w:val="00200D9C"/>
    <w:rsid w:val="00200ED0"/>
    <w:rsid w:val="00203987"/>
    <w:rsid w:val="0020517D"/>
    <w:rsid w:val="002064A9"/>
    <w:rsid w:val="00206CE8"/>
    <w:rsid w:val="00214D28"/>
    <w:rsid w:val="00215EBD"/>
    <w:rsid w:val="002234D2"/>
    <w:rsid w:val="002238D1"/>
    <w:rsid w:val="00224E1E"/>
    <w:rsid w:val="0023121E"/>
    <w:rsid w:val="00231FEF"/>
    <w:rsid w:val="00232679"/>
    <w:rsid w:val="00233F37"/>
    <w:rsid w:val="00237BAC"/>
    <w:rsid w:val="00241373"/>
    <w:rsid w:val="00242EE3"/>
    <w:rsid w:val="00243255"/>
    <w:rsid w:val="00246756"/>
    <w:rsid w:val="00247960"/>
    <w:rsid w:val="00250C46"/>
    <w:rsid w:val="002516E1"/>
    <w:rsid w:val="0025341D"/>
    <w:rsid w:val="00253BF9"/>
    <w:rsid w:val="00260448"/>
    <w:rsid w:val="00263023"/>
    <w:rsid w:val="00263BBF"/>
    <w:rsid w:val="002640C9"/>
    <w:rsid w:val="00264983"/>
    <w:rsid w:val="00266678"/>
    <w:rsid w:val="00270369"/>
    <w:rsid w:val="0027082E"/>
    <w:rsid w:val="00270B77"/>
    <w:rsid w:val="00272601"/>
    <w:rsid w:val="00272F01"/>
    <w:rsid w:val="00274E1A"/>
    <w:rsid w:val="00276988"/>
    <w:rsid w:val="00276A39"/>
    <w:rsid w:val="00280A30"/>
    <w:rsid w:val="00280CCE"/>
    <w:rsid w:val="00280DCC"/>
    <w:rsid w:val="002831E3"/>
    <w:rsid w:val="00283B9D"/>
    <w:rsid w:val="00285DDA"/>
    <w:rsid w:val="00290169"/>
    <w:rsid w:val="00294795"/>
    <w:rsid w:val="002A0B0F"/>
    <w:rsid w:val="002A1936"/>
    <w:rsid w:val="002A2391"/>
    <w:rsid w:val="002B1C41"/>
    <w:rsid w:val="002B2112"/>
    <w:rsid w:val="002B351E"/>
    <w:rsid w:val="002B3F71"/>
    <w:rsid w:val="002B3FB5"/>
    <w:rsid w:val="002B582B"/>
    <w:rsid w:val="002C0F9D"/>
    <w:rsid w:val="002C1FDB"/>
    <w:rsid w:val="002C3BC4"/>
    <w:rsid w:val="002C4522"/>
    <w:rsid w:val="002C5E0A"/>
    <w:rsid w:val="002D0CA3"/>
    <w:rsid w:val="002D0D7E"/>
    <w:rsid w:val="002D1790"/>
    <w:rsid w:val="002D20D9"/>
    <w:rsid w:val="002D2AD2"/>
    <w:rsid w:val="002D31B8"/>
    <w:rsid w:val="002D4411"/>
    <w:rsid w:val="002D5DA6"/>
    <w:rsid w:val="002D6EC2"/>
    <w:rsid w:val="002D76FA"/>
    <w:rsid w:val="002E17F8"/>
    <w:rsid w:val="002F13ED"/>
    <w:rsid w:val="002F3C53"/>
    <w:rsid w:val="002F48EF"/>
    <w:rsid w:val="002F7A51"/>
    <w:rsid w:val="003022B5"/>
    <w:rsid w:val="003106EC"/>
    <w:rsid w:val="00311E0D"/>
    <w:rsid w:val="00311F71"/>
    <w:rsid w:val="003124CD"/>
    <w:rsid w:val="0031411E"/>
    <w:rsid w:val="0031557F"/>
    <w:rsid w:val="0031696B"/>
    <w:rsid w:val="00317CAA"/>
    <w:rsid w:val="00320DD0"/>
    <w:rsid w:val="0032306C"/>
    <w:rsid w:val="003231F6"/>
    <w:rsid w:val="00325E0C"/>
    <w:rsid w:val="00331332"/>
    <w:rsid w:val="00331918"/>
    <w:rsid w:val="00331FFE"/>
    <w:rsid w:val="00332701"/>
    <w:rsid w:val="0033581C"/>
    <w:rsid w:val="00340D07"/>
    <w:rsid w:val="0034129A"/>
    <w:rsid w:val="003418D2"/>
    <w:rsid w:val="00345982"/>
    <w:rsid w:val="003469A5"/>
    <w:rsid w:val="00356E34"/>
    <w:rsid w:val="00357676"/>
    <w:rsid w:val="003578CC"/>
    <w:rsid w:val="003579C8"/>
    <w:rsid w:val="0037524F"/>
    <w:rsid w:val="0038385E"/>
    <w:rsid w:val="00384F65"/>
    <w:rsid w:val="00385389"/>
    <w:rsid w:val="00386218"/>
    <w:rsid w:val="003919B5"/>
    <w:rsid w:val="00394C20"/>
    <w:rsid w:val="00395184"/>
    <w:rsid w:val="0039725C"/>
    <w:rsid w:val="00397274"/>
    <w:rsid w:val="003A16E7"/>
    <w:rsid w:val="003A23D6"/>
    <w:rsid w:val="003A751F"/>
    <w:rsid w:val="003A7A6A"/>
    <w:rsid w:val="003B0FDF"/>
    <w:rsid w:val="003B38BD"/>
    <w:rsid w:val="003C00F7"/>
    <w:rsid w:val="003C3282"/>
    <w:rsid w:val="003C3985"/>
    <w:rsid w:val="003D031F"/>
    <w:rsid w:val="003D2E54"/>
    <w:rsid w:val="003D676C"/>
    <w:rsid w:val="003D6B1F"/>
    <w:rsid w:val="003D6B33"/>
    <w:rsid w:val="003D75A2"/>
    <w:rsid w:val="003E2F42"/>
    <w:rsid w:val="003E355E"/>
    <w:rsid w:val="003E3915"/>
    <w:rsid w:val="003E473D"/>
    <w:rsid w:val="003E7702"/>
    <w:rsid w:val="003F0441"/>
    <w:rsid w:val="003F28B5"/>
    <w:rsid w:val="003F2926"/>
    <w:rsid w:val="003F7093"/>
    <w:rsid w:val="00401EDB"/>
    <w:rsid w:val="00404C93"/>
    <w:rsid w:val="00407877"/>
    <w:rsid w:val="00412D06"/>
    <w:rsid w:val="004130B9"/>
    <w:rsid w:val="0041385A"/>
    <w:rsid w:val="004148D7"/>
    <w:rsid w:val="00414CBC"/>
    <w:rsid w:val="00416CE4"/>
    <w:rsid w:val="004215FE"/>
    <w:rsid w:val="00423EC7"/>
    <w:rsid w:val="00431B96"/>
    <w:rsid w:val="00434018"/>
    <w:rsid w:val="0043496A"/>
    <w:rsid w:val="00434ED1"/>
    <w:rsid w:val="004379BC"/>
    <w:rsid w:val="00441FE4"/>
    <w:rsid w:val="00443113"/>
    <w:rsid w:val="004434E8"/>
    <w:rsid w:val="00445725"/>
    <w:rsid w:val="00446704"/>
    <w:rsid w:val="004472C2"/>
    <w:rsid w:val="0045128D"/>
    <w:rsid w:val="00451A2D"/>
    <w:rsid w:val="00451C9F"/>
    <w:rsid w:val="00455B45"/>
    <w:rsid w:val="0045706F"/>
    <w:rsid w:val="00457152"/>
    <w:rsid w:val="00460054"/>
    <w:rsid w:val="00460BA2"/>
    <w:rsid w:val="0046162D"/>
    <w:rsid w:val="00463A58"/>
    <w:rsid w:val="004640E4"/>
    <w:rsid w:val="004655DC"/>
    <w:rsid w:val="004666D6"/>
    <w:rsid w:val="0047153C"/>
    <w:rsid w:val="0047191D"/>
    <w:rsid w:val="00471F54"/>
    <w:rsid w:val="00472006"/>
    <w:rsid w:val="004733F6"/>
    <w:rsid w:val="0047724C"/>
    <w:rsid w:val="00483B0B"/>
    <w:rsid w:val="004868C0"/>
    <w:rsid w:val="00491F0A"/>
    <w:rsid w:val="00495DF3"/>
    <w:rsid w:val="00497507"/>
    <w:rsid w:val="004A0B79"/>
    <w:rsid w:val="004A1CFC"/>
    <w:rsid w:val="004A3CBC"/>
    <w:rsid w:val="004A4DE9"/>
    <w:rsid w:val="004A7368"/>
    <w:rsid w:val="004A7F75"/>
    <w:rsid w:val="004B1FE9"/>
    <w:rsid w:val="004B5574"/>
    <w:rsid w:val="004B60C7"/>
    <w:rsid w:val="004C306E"/>
    <w:rsid w:val="004C64C1"/>
    <w:rsid w:val="004D2B57"/>
    <w:rsid w:val="004D7F58"/>
    <w:rsid w:val="004E0157"/>
    <w:rsid w:val="004E1982"/>
    <w:rsid w:val="004E22E2"/>
    <w:rsid w:val="004E5742"/>
    <w:rsid w:val="004E5757"/>
    <w:rsid w:val="004E66CE"/>
    <w:rsid w:val="004E687C"/>
    <w:rsid w:val="004E7D72"/>
    <w:rsid w:val="004F1132"/>
    <w:rsid w:val="004F1278"/>
    <w:rsid w:val="004F3824"/>
    <w:rsid w:val="004F47F1"/>
    <w:rsid w:val="004F4C7E"/>
    <w:rsid w:val="00500C0A"/>
    <w:rsid w:val="0050265C"/>
    <w:rsid w:val="00502A57"/>
    <w:rsid w:val="00503809"/>
    <w:rsid w:val="0050563F"/>
    <w:rsid w:val="0050620C"/>
    <w:rsid w:val="00516F05"/>
    <w:rsid w:val="005175BF"/>
    <w:rsid w:val="0051773E"/>
    <w:rsid w:val="005212A1"/>
    <w:rsid w:val="005212C5"/>
    <w:rsid w:val="005229E8"/>
    <w:rsid w:val="005239BC"/>
    <w:rsid w:val="00523C13"/>
    <w:rsid w:val="00524F07"/>
    <w:rsid w:val="005257C2"/>
    <w:rsid w:val="00526037"/>
    <w:rsid w:val="00526765"/>
    <w:rsid w:val="00527CD7"/>
    <w:rsid w:val="00532633"/>
    <w:rsid w:val="005403F1"/>
    <w:rsid w:val="00542533"/>
    <w:rsid w:val="00542FC4"/>
    <w:rsid w:val="005439F5"/>
    <w:rsid w:val="0054587D"/>
    <w:rsid w:val="00547531"/>
    <w:rsid w:val="0055080D"/>
    <w:rsid w:val="00550B28"/>
    <w:rsid w:val="0055111B"/>
    <w:rsid w:val="00551578"/>
    <w:rsid w:val="00551C3B"/>
    <w:rsid w:val="0055256B"/>
    <w:rsid w:val="00552790"/>
    <w:rsid w:val="005527BF"/>
    <w:rsid w:val="0055350F"/>
    <w:rsid w:val="00553E70"/>
    <w:rsid w:val="00554539"/>
    <w:rsid w:val="00556D18"/>
    <w:rsid w:val="005624B6"/>
    <w:rsid w:val="00562C46"/>
    <w:rsid w:val="0056526F"/>
    <w:rsid w:val="00566219"/>
    <w:rsid w:val="0057237F"/>
    <w:rsid w:val="00576BCB"/>
    <w:rsid w:val="00577402"/>
    <w:rsid w:val="005804B6"/>
    <w:rsid w:val="00582150"/>
    <w:rsid w:val="005822CB"/>
    <w:rsid w:val="00582835"/>
    <w:rsid w:val="00583C66"/>
    <w:rsid w:val="005860C8"/>
    <w:rsid w:val="00592C54"/>
    <w:rsid w:val="00597AB6"/>
    <w:rsid w:val="005A0F4B"/>
    <w:rsid w:val="005A1D3C"/>
    <w:rsid w:val="005A3F34"/>
    <w:rsid w:val="005A6D36"/>
    <w:rsid w:val="005B2D03"/>
    <w:rsid w:val="005B4CFB"/>
    <w:rsid w:val="005B6B40"/>
    <w:rsid w:val="005B76F5"/>
    <w:rsid w:val="005C1376"/>
    <w:rsid w:val="005C5CBF"/>
    <w:rsid w:val="005D1B70"/>
    <w:rsid w:val="005D3B88"/>
    <w:rsid w:val="005D45F5"/>
    <w:rsid w:val="005D4741"/>
    <w:rsid w:val="005D4FD5"/>
    <w:rsid w:val="005D54B1"/>
    <w:rsid w:val="005D6613"/>
    <w:rsid w:val="005E1009"/>
    <w:rsid w:val="005E17F0"/>
    <w:rsid w:val="005E3FA8"/>
    <w:rsid w:val="005E557E"/>
    <w:rsid w:val="005E5F0B"/>
    <w:rsid w:val="005F10A8"/>
    <w:rsid w:val="005F42EF"/>
    <w:rsid w:val="005F4CB4"/>
    <w:rsid w:val="005F51DC"/>
    <w:rsid w:val="005F6348"/>
    <w:rsid w:val="005F6B35"/>
    <w:rsid w:val="00606069"/>
    <w:rsid w:val="00615575"/>
    <w:rsid w:val="00617095"/>
    <w:rsid w:val="006212EA"/>
    <w:rsid w:val="006216FE"/>
    <w:rsid w:val="00626DBF"/>
    <w:rsid w:val="00630374"/>
    <w:rsid w:val="00630C1A"/>
    <w:rsid w:val="0063305B"/>
    <w:rsid w:val="00633EB7"/>
    <w:rsid w:val="00635339"/>
    <w:rsid w:val="0063666A"/>
    <w:rsid w:val="00640612"/>
    <w:rsid w:val="0064227D"/>
    <w:rsid w:val="00643E07"/>
    <w:rsid w:val="00645427"/>
    <w:rsid w:val="00646543"/>
    <w:rsid w:val="0065179F"/>
    <w:rsid w:val="00657593"/>
    <w:rsid w:val="00666830"/>
    <w:rsid w:val="006668A6"/>
    <w:rsid w:val="00670C95"/>
    <w:rsid w:val="00673332"/>
    <w:rsid w:val="00673BD8"/>
    <w:rsid w:val="00674D97"/>
    <w:rsid w:val="00675AAC"/>
    <w:rsid w:val="006765BE"/>
    <w:rsid w:val="0067749D"/>
    <w:rsid w:val="006905FF"/>
    <w:rsid w:val="006925CE"/>
    <w:rsid w:val="00692C8C"/>
    <w:rsid w:val="006939CB"/>
    <w:rsid w:val="0069633B"/>
    <w:rsid w:val="006A0BED"/>
    <w:rsid w:val="006A2025"/>
    <w:rsid w:val="006A56BB"/>
    <w:rsid w:val="006A69B1"/>
    <w:rsid w:val="006B2748"/>
    <w:rsid w:val="006B405E"/>
    <w:rsid w:val="006B465F"/>
    <w:rsid w:val="006C06A1"/>
    <w:rsid w:val="006C0F22"/>
    <w:rsid w:val="006C13B1"/>
    <w:rsid w:val="006C17D4"/>
    <w:rsid w:val="006C4176"/>
    <w:rsid w:val="006C4FF2"/>
    <w:rsid w:val="006C66EF"/>
    <w:rsid w:val="006D2617"/>
    <w:rsid w:val="006D4C3C"/>
    <w:rsid w:val="006D4E5E"/>
    <w:rsid w:val="006D64B9"/>
    <w:rsid w:val="006D7BC0"/>
    <w:rsid w:val="006E03D1"/>
    <w:rsid w:val="006E1356"/>
    <w:rsid w:val="006E1A75"/>
    <w:rsid w:val="006E200F"/>
    <w:rsid w:val="006E276E"/>
    <w:rsid w:val="006E7572"/>
    <w:rsid w:val="006E7C06"/>
    <w:rsid w:val="006F0760"/>
    <w:rsid w:val="006F2D04"/>
    <w:rsid w:val="006F32D0"/>
    <w:rsid w:val="006F61F9"/>
    <w:rsid w:val="006F6712"/>
    <w:rsid w:val="006F749E"/>
    <w:rsid w:val="00700AA3"/>
    <w:rsid w:val="00702E32"/>
    <w:rsid w:val="0070662D"/>
    <w:rsid w:val="0070724C"/>
    <w:rsid w:val="00707A42"/>
    <w:rsid w:val="00711655"/>
    <w:rsid w:val="00711E3D"/>
    <w:rsid w:val="00711E4E"/>
    <w:rsid w:val="00711F80"/>
    <w:rsid w:val="00712A8E"/>
    <w:rsid w:val="00713F0E"/>
    <w:rsid w:val="007142BA"/>
    <w:rsid w:val="00714823"/>
    <w:rsid w:val="00715B1E"/>
    <w:rsid w:val="00717197"/>
    <w:rsid w:val="00717770"/>
    <w:rsid w:val="0071789F"/>
    <w:rsid w:val="00721471"/>
    <w:rsid w:val="00722D33"/>
    <w:rsid w:val="007233BD"/>
    <w:rsid w:val="00726058"/>
    <w:rsid w:val="00727731"/>
    <w:rsid w:val="00730088"/>
    <w:rsid w:val="007317B6"/>
    <w:rsid w:val="00732960"/>
    <w:rsid w:val="00734469"/>
    <w:rsid w:val="00736B5E"/>
    <w:rsid w:val="00737485"/>
    <w:rsid w:val="0074478F"/>
    <w:rsid w:val="0074498C"/>
    <w:rsid w:val="00744BAF"/>
    <w:rsid w:val="007450AD"/>
    <w:rsid w:val="00746406"/>
    <w:rsid w:val="00747222"/>
    <w:rsid w:val="00750595"/>
    <w:rsid w:val="00750898"/>
    <w:rsid w:val="00753C63"/>
    <w:rsid w:val="00754470"/>
    <w:rsid w:val="00757013"/>
    <w:rsid w:val="007614BD"/>
    <w:rsid w:val="007644CC"/>
    <w:rsid w:val="0076587B"/>
    <w:rsid w:val="00773559"/>
    <w:rsid w:val="00774A45"/>
    <w:rsid w:val="007774FF"/>
    <w:rsid w:val="0078127A"/>
    <w:rsid w:val="00783AF2"/>
    <w:rsid w:val="00784A96"/>
    <w:rsid w:val="0078704F"/>
    <w:rsid w:val="0078759D"/>
    <w:rsid w:val="00787E46"/>
    <w:rsid w:val="00792E1B"/>
    <w:rsid w:val="00793303"/>
    <w:rsid w:val="00795F7D"/>
    <w:rsid w:val="007A2BCB"/>
    <w:rsid w:val="007A3A10"/>
    <w:rsid w:val="007A4951"/>
    <w:rsid w:val="007A6609"/>
    <w:rsid w:val="007B0768"/>
    <w:rsid w:val="007B1991"/>
    <w:rsid w:val="007B3538"/>
    <w:rsid w:val="007B7B73"/>
    <w:rsid w:val="007C2CED"/>
    <w:rsid w:val="007C4751"/>
    <w:rsid w:val="007C4AAA"/>
    <w:rsid w:val="007C79D9"/>
    <w:rsid w:val="007D354D"/>
    <w:rsid w:val="007E2E78"/>
    <w:rsid w:val="007E5679"/>
    <w:rsid w:val="007F17F2"/>
    <w:rsid w:val="007F4114"/>
    <w:rsid w:val="007F48ED"/>
    <w:rsid w:val="0080171A"/>
    <w:rsid w:val="00802988"/>
    <w:rsid w:val="00802D26"/>
    <w:rsid w:val="0080403E"/>
    <w:rsid w:val="00813254"/>
    <w:rsid w:val="00815810"/>
    <w:rsid w:val="00821065"/>
    <w:rsid w:val="0082255D"/>
    <w:rsid w:val="00822BF3"/>
    <w:rsid w:val="00826F22"/>
    <w:rsid w:val="00827083"/>
    <w:rsid w:val="00831D5A"/>
    <w:rsid w:val="0083362F"/>
    <w:rsid w:val="00833DFC"/>
    <w:rsid w:val="00840694"/>
    <w:rsid w:val="008415A0"/>
    <w:rsid w:val="00841CD6"/>
    <w:rsid w:val="00841D55"/>
    <w:rsid w:val="00842C4A"/>
    <w:rsid w:val="00842C5E"/>
    <w:rsid w:val="00845996"/>
    <w:rsid w:val="008460A9"/>
    <w:rsid w:val="00847BB3"/>
    <w:rsid w:val="0085364B"/>
    <w:rsid w:val="008542B6"/>
    <w:rsid w:val="00866993"/>
    <w:rsid w:val="008674B5"/>
    <w:rsid w:val="0087423B"/>
    <w:rsid w:val="00874366"/>
    <w:rsid w:val="008762D8"/>
    <w:rsid w:val="00877E8E"/>
    <w:rsid w:val="0088096C"/>
    <w:rsid w:val="00881DB6"/>
    <w:rsid w:val="008820D6"/>
    <w:rsid w:val="00882BB4"/>
    <w:rsid w:val="00883424"/>
    <w:rsid w:val="008859BC"/>
    <w:rsid w:val="0088792D"/>
    <w:rsid w:val="00887ABE"/>
    <w:rsid w:val="008921E1"/>
    <w:rsid w:val="00893C72"/>
    <w:rsid w:val="00894271"/>
    <w:rsid w:val="00894598"/>
    <w:rsid w:val="00896FA4"/>
    <w:rsid w:val="00897035"/>
    <w:rsid w:val="008A261F"/>
    <w:rsid w:val="008A55A4"/>
    <w:rsid w:val="008B1589"/>
    <w:rsid w:val="008B217B"/>
    <w:rsid w:val="008B2547"/>
    <w:rsid w:val="008B34AC"/>
    <w:rsid w:val="008B5CA9"/>
    <w:rsid w:val="008B74DD"/>
    <w:rsid w:val="008C0811"/>
    <w:rsid w:val="008C3043"/>
    <w:rsid w:val="008C48BB"/>
    <w:rsid w:val="008C6ED1"/>
    <w:rsid w:val="008C72B5"/>
    <w:rsid w:val="008C7595"/>
    <w:rsid w:val="008C7DC6"/>
    <w:rsid w:val="008D0D3D"/>
    <w:rsid w:val="008D10FD"/>
    <w:rsid w:val="008D122F"/>
    <w:rsid w:val="008D3A1B"/>
    <w:rsid w:val="008D3FC9"/>
    <w:rsid w:val="008D4949"/>
    <w:rsid w:val="008D5F60"/>
    <w:rsid w:val="008D6035"/>
    <w:rsid w:val="008D727F"/>
    <w:rsid w:val="008E403C"/>
    <w:rsid w:val="008E415F"/>
    <w:rsid w:val="008F0210"/>
    <w:rsid w:val="008F0475"/>
    <w:rsid w:val="008F2600"/>
    <w:rsid w:val="008F3E37"/>
    <w:rsid w:val="008F5D52"/>
    <w:rsid w:val="009005A6"/>
    <w:rsid w:val="00904F17"/>
    <w:rsid w:val="00905CB5"/>
    <w:rsid w:val="00906832"/>
    <w:rsid w:val="00906DF8"/>
    <w:rsid w:val="009113E9"/>
    <w:rsid w:val="00915FC8"/>
    <w:rsid w:val="00920428"/>
    <w:rsid w:val="009223FE"/>
    <w:rsid w:val="00922966"/>
    <w:rsid w:val="009233B2"/>
    <w:rsid w:val="0092710A"/>
    <w:rsid w:val="00927CB0"/>
    <w:rsid w:val="00932C7D"/>
    <w:rsid w:val="0093340C"/>
    <w:rsid w:val="00933FEC"/>
    <w:rsid w:val="009347F0"/>
    <w:rsid w:val="00935B55"/>
    <w:rsid w:val="00937AE3"/>
    <w:rsid w:val="00937D24"/>
    <w:rsid w:val="00941F33"/>
    <w:rsid w:val="00943175"/>
    <w:rsid w:val="0094321C"/>
    <w:rsid w:val="00943EFF"/>
    <w:rsid w:val="00947CC7"/>
    <w:rsid w:val="009539E9"/>
    <w:rsid w:val="00954131"/>
    <w:rsid w:val="0095490B"/>
    <w:rsid w:val="00954CF2"/>
    <w:rsid w:val="0095741D"/>
    <w:rsid w:val="00960594"/>
    <w:rsid w:val="00960D95"/>
    <w:rsid w:val="0096264D"/>
    <w:rsid w:val="00963166"/>
    <w:rsid w:val="0096331A"/>
    <w:rsid w:val="00965886"/>
    <w:rsid w:val="00971DC6"/>
    <w:rsid w:val="0097288F"/>
    <w:rsid w:val="00976689"/>
    <w:rsid w:val="009772C4"/>
    <w:rsid w:val="009776C5"/>
    <w:rsid w:val="00977E29"/>
    <w:rsid w:val="009811B8"/>
    <w:rsid w:val="0098207E"/>
    <w:rsid w:val="0098464A"/>
    <w:rsid w:val="00985A4E"/>
    <w:rsid w:val="00986737"/>
    <w:rsid w:val="00986B5F"/>
    <w:rsid w:val="00990946"/>
    <w:rsid w:val="00990AAE"/>
    <w:rsid w:val="009921DA"/>
    <w:rsid w:val="00992C17"/>
    <w:rsid w:val="009A02DC"/>
    <w:rsid w:val="009B0468"/>
    <w:rsid w:val="009B1D86"/>
    <w:rsid w:val="009B2210"/>
    <w:rsid w:val="009B6120"/>
    <w:rsid w:val="009C2F76"/>
    <w:rsid w:val="009C4F46"/>
    <w:rsid w:val="009D1A79"/>
    <w:rsid w:val="009D22E8"/>
    <w:rsid w:val="009D3C38"/>
    <w:rsid w:val="009D3E26"/>
    <w:rsid w:val="009D50C9"/>
    <w:rsid w:val="009E472D"/>
    <w:rsid w:val="009E4CFB"/>
    <w:rsid w:val="009E54C6"/>
    <w:rsid w:val="009E73FF"/>
    <w:rsid w:val="009F2446"/>
    <w:rsid w:val="009F266C"/>
    <w:rsid w:val="009F28C7"/>
    <w:rsid w:val="009F52AF"/>
    <w:rsid w:val="009F5312"/>
    <w:rsid w:val="009F63B7"/>
    <w:rsid w:val="009F7023"/>
    <w:rsid w:val="00A00CEA"/>
    <w:rsid w:val="00A01BEF"/>
    <w:rsid w:val="00A02AEC"/>
    <w:rsid w:val="00A040D6"/>
    <w:rsid w:val="00A0594A"/>
    <w:rsid w:val="00A0680E"/>
    <w:rsid w:val="00A11770"/>
    <w:rsid w:val="00A12C47"/>
    <w:rsid w:val="00A2089F"/>
    <w:rsid w:val="00A2337F"/>
    <w:rsid w:val="00A23E04"/>
    <w:rsid w:val="00A2462B"/>
    <w:rsid w:val="00A26B39"/>
    <w:rsid w:val="00A34393"/>
    <w:rsid w:val="00A344D2"/>
    <w:rsid w:val="00A40A6D"/>
    <w:rsid w:val="00A40ACF"/>
    <w:rsid w:val="00A420B1"/>
    <w:rsid w:val="00A46C15"/>
    <w:rsid w:val="00A50DC0"/>
    <w:rsid w:val="00A54081"/>
    <w:rsid w:val="00A55F36"/>
    <w:rsid w:val="00A63695"/>
    <w:rsid w:val="00A6572F"/>
    <w:rsid w:val="00A712D0"/>
    <w:rsid w:val="00A728F7"/>
    <w:rsid w:val="00A72F06"/>
    <w:rsid w:val="00A730F2"/>
    <w:rsid w:val="00A7434E"/>
    <w:rsid w:val="00A74A9F"/>
    <w:rsid w:val="00A74EE9"/>
    <w:rsid w:val="00A74F67"/>
    <w:rsid w:val="00A76A56"/>
    <w:rsid w:val="00A777D9"/>
    <w:rsid w:val="00A77DB7"/>
    <w:rsid w:val="00A77FFD"/>
    <w:rsid w:val="00A8075D"/>
    <w:rsid w:val="00A9175E"/>
    <w:rsid w:val="00A934C1"/>
    <w:rsid w:val="00A94270"/>
    <w:rsid w:val="00A970B1"/>
    <w:rsid w:val="00AA32AD"/>
    <w:rsid w:val="00AA3D8C"/>
    <w:rsid w:val="00AB062E"/>
    <w:rsid w:val="00AB4554"/>
    <w:rsid w:val="00AB61FB"/>
    <w:rsid w:val="00AB6521"/>
    <w:rsid w:val="00AB6AC1"/>
    <w:rsid w:val="00AC2472"/>
    <w:rsid w:val="00AC47B6"/>
    <w:rsid w:val="00AD0A20"/>
    <w:rsid w:val="00AD4E9E"/>
    <w:rsid w:val="00AD7DF9"/>
    <w:rsid w:val="00AE070E"/>
    <w:rsid w:val="00AE0B14"/>
    <w:rsid w:val="00AE29BB"/>
    <w:rsid w:val="00AE2CAF"/>
    <w:rsid w:val="00AE699D"/>
    <w:rsid w:val="00AE73E4"/>
    <w:rsid w:val="00AF33D9"/>
    <w:rsid w:val="00AF34E2"/>
    <w:rsid w:val="00AF4903"/>
    <w:rsid w:val="00AF6193"/>
    <w:rsid w:val="00B002E4"/>
    <w:rsid w:val="00B03836"/>
    <w:rsid w:val="00B0445C"/>
    <w:rsid w:val="00B04785"/>
    <w:rsid w:val="00B05273"/>
    <w:rsid w:val="00B07ABA"/>
    <w:rsid w:val="00B1223D"/>
    <w:rsid w:val="00B12505"/>
    <w:rsid w:val="00B150EA"/>
    <w:rsid w:val="00B16FA0"/>
    <w:rsid w:val="00B17FDD"/>
    <w:rsid w:val="00B200F4"/>
    <w:rsid w:val="00B21F15"/>
    <w:rsid w:val="00B223EB"/>
    <w:rsid w:val="00B23DB2"/>
    <w:rsid w:val="00B24D32"/>
    <w:rsid w:val="00B25846"/>
    <w:rsid w:val="00B25D38"/>
    <w:rsid w:val="00B32608"/>
    <w:rsid w:val="00B332B2"/>
    <w:rsid w:val="00B34CCC"/>
    <w:rsid w:val="00B34FC1"/>
    <w:rsid w:val="00B36EC7"/>
    <w:rsid w:val="00B36EDD"/>
    <w:rsid w:val="00B40B77"/>
    <w:rsid w:val="00B40BB9"/>
    <w:rsid w:val="00B44087"/>
    <w:rsid w:val="00B47034"/>
    <w:rsid w:val="00B50941"/>
    <w:rsid w:val="00B526ED"/>
    <w:rsid w:val="00B54343"/>
    <w:rsid w:val="00B56D0D"/>
    <w:rsid w:val="00B61C97"/>
    <w:rsid w:val="00B628C5"/>
    <w:rsid w:val="00B62B9C"/>
    <w:rsid w:val="00B63203"/>
    <w:rsid w:val="00B70160"/>
    <w:rsid w:val="00B71933"/>
    <w:rsid w:val="00B71A0E"/>
    <w:rsid w:val="00B77077"/>
    <w:rsid w:val="00B8078D"/>
    <w:rsid w:val="00B82529"/>
    <w:rsid w:val="00B83B3E"/>
    <w:rsid w:val="00B84954"/>
    <w:rsid w:val="00B90D2D"/>
    <w:rsid w:val="00B917E8"/>
    <w:rsid w:val="00B93FF1"/>
    <w:rsid w:val="00B9716B"/>
    <w:rsid w:val="00BA2098"/>
    <w:rsid w:val="00BA4833"/>
    <w:rsid w:val="00BA63B1"/>
    <w:rsid w:val="00BA6D8F"/>
    <w:rsid w:val="00BB5A84"/>
    <w:rsid w:val="00BC12DB"/>
    <w:rsid w:val="00BC51D3"/>
    <w:rsid w:val="00BC5304"/>
    <w:rsid w:val="00BC7E21"/>
    <w:rsid w:val="00BC7E3A"/>
    <w:rsid w:val="00BD12A3"/>
    <w:rsid w:val="00BD2197"/>
    <w:rsid w:val="00BD3B13"/>
    <w:rsid w:val="00BD4308"/>
    <w:rsid w:val="00BD6AB2"/>
    <w:rsid w:val="00BD6D34"/>
    <w:rsid w:val="00BD75B2"/>
    <w:rsid w:val="00BD7F6E"/>
    <w:rsid w:val="00BE0487"/>
    <w:rsid w:val="00BE0D93"/>
    <w:rsid w:val="00BE23AB"/>
    <w:rsid w:val="00BE676D"/>
    <w:rsid w:val="00BF19DF"/>
    <w:rsid w:val="00BF3D15"/>
    <w:rsid w:val="00BF429A"/>
    <w:rsid w:val="00BF47B0"/>
    <w:rsid w:val="00BF5327"/>
    <w:rsid w:val="00BF776C"/>
    <w:rsid w:val="00C0304C"/>
    <w:rsid w:val="00C037F3"/>
    <w:rsid w:val="00C10213"/>
    <w:rsid w:val="00C12949"/>
    <w:rsid w:val="00C12F72"/>
    <w:rsid w:val="00C14778"/>
    <w:rsid w:val="00C14F64"/>
    <w:rsid w:val="00C15B9C"/>
    <w:rsid w:val="00C20818"/>
    <w:rsid w:val="00C21704"/>
    <w:rsid w:val="00C21D33"/>
    <w:rsid w:val="00C3382F"/>
    <w:rsid w:val="00C3465A"/>
    <w:rsid w:val="00C42F99"/>
    <w:rsid w:val="00C4377C"/>
    <w:rsid w:val="00C44ACD"/>
    <w:rsid w:val="00C4613E"/>
    <w:rsid w:val="00C46B18"/>
    <w:rsid w:val="00C4762A"/>
    <w:rsid w:val="00C47F0F"/>
    <w:rsid w:val="00C51D84"/>
    <w:rsid w:val="00C52506"/>
    <w:rsid w:val="00C52CE9"/>
    <w:rsid w:val="00C57BF8"/>
    <w:rsid w:val="00C60985"/>
    <w:rsid w:val="00C60EA6"/>
    <w:rsid w:val="00C6295C"/>
    <w:rsid w:val="00C678B7"/>
    <w:rsid w:val="00C739AD"/>
    <w:rsid w:val="00C74308"/>
    <w:rsid w:val="00C7699C"/>
    <w:rsid w:val="00C82259"/>
    <w:rsid w:val="00C840DF"/>
    <w:rsid w:val="00C84198"/>
    <w:rsid w:val="00C9297C"/>
    <w:rsid w:val="00C94014"/>
    <w:rsid w:val="00C972BC"/>
    <w:rsid w:val="00CA561E"/>
    <w:rsid w:val="00CA6367"/>
    <w:rsid w:val="00CA7C81"/>
    <w:rsid w:val="00CB02F2"/>
    <w:rsid w:val="00CB0A99"/>
    <w:rsid w:val="00CB1E78"/>
    <w:rsid w:val="00CB580C"/>
    <w:rsid w:val="00CB5A09"/>
    <w:rsid w:val="00CB69B4"/>
    <w:rsid w:val="00CC03E6"/>
    <w:rsid w:val="00CC389C"/>
    <w:rsid w:val="00CD0CD4"/>
    <w:rsid w:val="00CD293C"/>
    <w:rsid w:val="00CD2DE0"/>
    <w:rsid w:val="00CD7BA0"/>
    <w:rsid w:val="00CE2E01"/>
    <w:rsid w:val="00CE3B9F"/>
    <w:rsid w:val="00CF1FB8"/>
    <w:rsid w:val="00CF253A"/>
    <w:rsid w:val="00CF2C65"/>
    <w:rsid w:val="00CF3840"/>
    <w:rsid w:val="00CF3AF5"/>
    <w:rsid w:val="00CF40CD"/>
    <w:rsid w:val="00D04813"/>
    <w:rsid w:val="00D078B6"/>
    <w:rsid w:val="00D1022C"/>
    <w:rsid w:val="00D158C3"/>
    <w:rsid w:val="00D17E34"/>
    <w:rsid w:val="00D20FE4"/>
    <w:rsid w:val="00D21DF7"/>
    <w:rsid w:val="00D226FF"/>
    <w:rsid w:val="00D26AB9"/>
    <w:rsid w:val="00D27115"/>
    <w:rsid w:val="00D306B1"/>
    <w:rsid w:val="00D34DCC"/>
    <w:rsid w:val="00D360AC"/>
    <w:rsid w:val="00D44068"/>
    <w:rsid w:val="00D509C0"/>
    <w:rsid w:val="00D509E3"/>
    <w:rsid w:val="00D56150"/>
    <w:rsid w:val="00D604F2"/>
    <w:rsid w:val="00D61D9B"/>
    <w:rsid w:val="00D61E54"/>
    <w:rsid w:val="00D6422C"/>
    <w:rsid w:val="00D645AB"/>
    <w:rsid w:val="00D6470E"/>
    <w:rsid w:val="00D66771"/>
    <w:rsid w:val="00D72100"/>
    <w:rsid w:val="00D72C4E"/>
    <w:rsid w:val="00D76989"/>
    <w:rsid w:val="00D805EE"/>
    <w:rsid w:val="00D8192F"/>
    <w:rsid w:val="00D82839"/>
    <w:rsid w:val="00D85B82"/>
    <w:rsid w:val="00D86AB0"/>
    <w:rsid w:val="00D878D4"/>
    <w:rsid w:val="00D91284"/>
    <w:rsid w:val="00D9170C"/>
    <w:rsid w:val="00D92279"/>
    <w:rsid w:val="00D93B73"/>
    <w:rsid w:val="00D95643"/>
    <w:rsid w:val="00D965ED"/>
    <w:rsid w:val="00DA18B7"/>
    <w:rsid w:val="00DA2861"/>
    <w:rsid w:val="00DA2F09"/>
    <w:rsid w:val="00DA3845"/>
    <w:rsid w:val="00DA5714"/>
    <w:rsid w:val="00DB296A"/>
    <w:rsid w:val="00DB37E3"/>
    <w:rsid w:val="00DB5478"/>
    <w:rsid w:val="00DB5D9D"/>
    <w:rsid w:val="00DB6C07"/>
    <w:rsid w:val="00DB6EB6"/>
    <w:rsid w:val="00DC1E60"/>
    <w:rsid w:val="00DC29DA"/>
    <w:rsid w:val="00DC4067"/>
    <w:rsid w:val="00DC5A09"/>
    <w:rsid w:val="00DC6483"/>
    <w:rsid w:val="00DC6DF2"/>
    <w:rsid w:val="00DD0C4E"/>
    <w:rsid w:val="00DD3ED2"/>
    <w:rsid w:val="00DD4335"/>
    <w:rsid w:val="00DD5313"/>
    <w:rsid w:val="00DD60CC"/>
    <w:rsid w:val="00DE04CE"/>
    <w:rsid w:val="00DE36FE"/>
    <w:rsid w:val="00DE3D51"/>
    <w:rsid w:val="00DF130C"/>
    <w:rsid w:val="00DF4738"/>
    <w:rsid w:val="00DF4D12"/>
    <w:rsid w:val="00E00212"/>
    <w:rsid w:val="00E023F9"/>
    <w:rsid w:val="00E03B5D"/>
    <w:rsid w:val="00E05810"/>
    <w:rsid w:val="00E07739"/>
    <w:rsid w:val="00E10AE2"/>
    <w:rsid w:val="00E10F0A"/>
    <w:rsid w:val="00E118AF"/>
    <w:rsid w:val="00E12144"/>
    <w:rsid w:val="00E12E7F"/>
    <w:rsid w:val="00E15662"/>
    <w:rsid w:val="00E17417"/>
    <w:rsid w:val="00E20B0B"/>
    <w:rsid w:val="00E20F87"/>
    <w:rsid w:val="00E21875"/>
    <w:rsid w:val="00E21D84"/>
    <w:rsid w:val="00E24F9F"/>
    <w:rsid w:val="00E25407"/>
    <w:rsid w:val="00E27726"/>
    <w:rsid w:val="00E278FE"/>
    <w:rsid w:val="00E27C75"/>
    <w:rsid w:val="00E32599"/>
    <w:rsid w:val="00E33B0E"/>
    <w:rsid w:val="00E35263"/>
    <w:rsid w:val="00E37953"/>
    <w:rsid w:val="00E40154"/>
    <w:rsid w:val="00E42621"/>
    <w:rsid w:val="00E43AA3"/>
    <w:rsid w:val="00E446A6"/>
    <w:rsid w:val="00E53CB5"/>
    <w:rsid w:val="00E53CCD"/>
    <w:rsid w:val="00E54359"/>
    <w:rsid w:val="00E55105"/>
    <w:rsid w:val="00E57FD0"/>
    <w:rsid w:val="00E62607"/>
    <w:rsid w:val="00E62842"/>
    <w:rsid w:val="00E63804"/>
    <w:rsid w:val="00E71855"/>
    <w:rsid w:val="00E719A9"/>
    <w:rsid w:val="00E7417A"/>
    <w:rsid w:val="00E74F6A"/>
    <w:rsid w:val="00E7691A"/>
    <w:rsid w:val="00E8070F"/>
    <w:rsid w:val="00E815F9"/>
    <w:rsid w:val="00E850C2"/>
    <w:rsid w:val="00E875B3"/>
    <w:rsid w:val="00E87748"/>
    <w:rsid w:val="00E925A9"/>
    <w:rsid w:val="00E93ACE"/>
    <w:rsid w:val="00E97498"/>
    <w:rsid w:val="00EA1DE4"/>
    <w:rsid w:val="00EA3989"/>
    <w:rsid w:val="00EA60EA"/>
    <w:rsid w:val="00EA7323"/>
    <w:rsid w:val="00EB29BF"/>
    <w:rsid w:val="00EB3BA1"/>
    <w:rsid w:val="00EB7749"/>
    <w:rsid w:val="00EC014B"/>
    <w:rsid w:val="00EC3BE0"/>
    <w:rsid w:val="00EC7C7F"/>
    <w:rsid w:val="00ED2A22"/>
    <w:rsid w:val="00ED4DB2"/>
    <w:rsid w:val="00EE1298"/>
    <w:rsid w:val="00EE4127"/>
    <w:rsid w:val="00EE422D"/>
    <w:rsid w:val="00EE461A"/>
    <w:rsid w:val="00EE4A75"/>
    <w:rsid w:val="00EE643D"/>
    <w:rsid w:val="00EF32E5"/>
    <w:rsid w:val="00EF4359"/>
    <w:rsid w:val="00EF4B42"/>
    <w:rsid w:val="00EF700D"/>
    <w:rsid w:val="00F003D3"/>
    <w:rsid w:val="00F008AB"/>
    <w:rsid w:val="00F01C46"/>
    <w:rsid w:val="00F0347B"/>
    <w:rsid w:val="00F03E32"/>
    <w:rsid w:val="00F14BAC"/>
    <w:rsid w:val="00F16049"/>
    <w:rsid w:val="00F177C0"/>
    <w:rsid w:val="00F2218F"/>
    <w:rsid w:val="00F30C16"/>
    <w:rsid w:val="00F330D1"/>
    <w:rsid w:val="00F405DF"/>
    <w:rsid w:val="00F4107F"/>
    <w:rsid w:val="00F41267"/>
    <w:rsid w:val="00F42162"/>
    <w:rsid w:val="00F42289"/>
    <w:rsid w:val="00F42E75"/>
    <w:rsid w:val="00F436AF"/>
    <w:rsid w:val="00F45C97"/>
    <w:rsid w:val="00F45D65"/>
    <w:rsid w:val="00F4798E"/>
    <w:rsid w:val="00F517FA"/>
    <w:rsid w:val="00F52D16"/>
    <w:rsid w:val="00F536A7"/>
    <w:rsid w:val="00F539D1"/>
    <w:rsid w:val="00F56A91"/>
    <w:rsid w:val="00F60075"/>
    <w:rsid w:val="00F62939"/>
    <w:rsid w:val="00F62D67"/>
    <w:rsid w:val="00F63BD9"/>
    <w:rsid w:val="00F6694C"/>
    <w:rsid w:val="00F67474"/>
    <w:rsid w:val="00F67822"/>
    <w:rsid w:val="00F713D1"/>
    <w:rsid w:val="00F74818"/>
    <w:rsid w:val="00F8145F"/>
    <w:rsid w:val="00F9283D"/>
    <w:rsid w:val="00F94473"/>
    <w:rsid w:val="00F96DA1"/>
    <w:rsid w:val="00F96F18"/>
    <w:rsid w:val="00F97196"/>
    <w:rsid w:val="00FA1756"/>
    <w:rsid w:val="00FA508E"/>
    <w:rsid w:val="00FA5320"/>
    <w:rsid w:val="00FA7846"/>
    <w:rsid w:val="00FB0EAB"/>
    <w:rsid w:val="00FB46DA"/>
    <w:rsid w:val="00FB6704"/>
    <w:rsid w:val="00FB7A3A"/>
    <w:rsid w:val="00FB7E4E"/>
    <w:rsid w:val="00FC26E5"/>
    <w:rsid w:val="00FC34B0"/>
    <w:rsid w:val="00FC422C"/>
    <w:rsid w:val="00FD19F1"/>
    <w:rsid w:val="00FD370F"/>
    <w:rsid w:val="00FD3FC9"/>
    <w:rsid w:val="00FD5589"/>
    <w:rsid w:val="00FD5B1B"/>
    <w:rsid w:val="00FD5E93"/>
    <w:rsid w:val="00FD68E6"/>
    <w:rsid w:val="00FE0874"/>
    <w:rsid w:val="00FE0B90"/>
    <w:rsid w:val="00FE0DD9"/>
    <w:rsid w:val="00FE1902"/>
    <w:rsid w:val="00FE4018"/>
    <w:rsid w:val="00FE60F0"/>
    <w:rsid w:val="00FF00B9"/>
    <w:rsid w:val="00FF0112"/>
    <w:rsid w:val="00FF046F"/>
    <w:rsid w:val="00FF17EF"/>
    <w:rsid w:val="00FF2D07"/>
    <w:rsid w:val="00FF2F6F"/>
    <w:rsid w:val="00FF4C41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DAFD7B"/>
  <w15:docId w15:val="{96029743-DB6A-4BD6-A4E6-81EFD63D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Bullets,Normal bullet 2"/>
    <w:basedOn w:val="a"/>
    <w:link w:val="af4"/>
    <w:uiPriority w:val="34"/>
    <w:qFormat/>
    <w:rsid w:val="001740C0"/>
    <w:pPr>
      <w:ind w:left="720"/>
      <w:contextualSpacing/>
    </w:pPr>
  </w:style>
  <w:style w:type="character" w:styleId="af5">
    <w:name w:val="Hyperlink"/>
    <w:uiPriority w:val="99"/>
    <w:unhideWhenUsed/>
    <w:rsid w:val="00F96DA1"/>
    <w:rPr>
      <w:color w:val="0000FF"/>
      <w:u w:val="single"/>
    </w:rPr>
  </w:style>
  <w:style w:type="paragraph" w:customStyle="1" w:styleId="rvps14">
    <w:name w:val="rvps14"/>
    <w:basedOn w:val="a"/>
    <w:rsid w:val="00ED4DB2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f6">
    <w:name w:val="annotation text"/>
    <w:basedOn w:val="a"/>
    <w:link w:val="af7"/>
    <w:uiPriority w:val="99"/>
    <w:unhideWhenUsed/>
    <w:qFormat/>
    <w:rsid w:val="00ED4DB2"/>
    <w:pPr>
      <w:spacing w:after="16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ітки Знак"/>
    <w:basedOn w:val="a0"/>
    <w:link w:val="af6"/>
    <w:uiPriority w:val="99"/>
    <w:rsid w:val="00ED4DB2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D4DB2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ED4DB2"/>
    <w:rPr>
      <w:rFonts w:ascii="Calibri" w:eastAsia="Calibri" w:hAnsi="Calibri" w:cs="Times New Roman"/>
      <w:b/>
      <w:bCs/>
      <w:sz w:val="2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ED4DB2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виноски Знак"/>
    <w:basedOn w:val="a0"/>
    <w:link w:val="afa"/>
    <w:uiPriority w:val="99"/>
    <w:semiHidden/>
    <w:rsid w:val="00ED4DB2"/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інцевої виноски Знак"/>
    <w:basedOn w:val="a0"/>
    <w:link w:val="afd"/>
    <w:uiPriority w:val="99"/>
    <w:semiHidden/>
    <w:rsid w:val="00ED4DB2"/>
    <w:rPr>
      <w:rFonts w:ascii="Calibri" w:eastAsia="Calibri" w:hAnsi="Calibri" w:cs="Times New Roman"/>
      <w:sz w:val="20"/>
      <w:szCs w:val="20"/>
    </w:rPr>
  </w:style>
  <w:style w:type="paragraph" w:styleId="afd">
    <w:name w:val="endnote text"/>
    <w:basedOn w:val="a"/>
    <w:link w:val="afc"/>
    <w:uiPriority w:val="99"/>
    <w:semiHidden/>
    <w:unhideWhenUsed/>
    <w:rsid w:val="00ED4DB2"/>
    <w:pPr>
      <w:jc w:val="left"/>
    </w:pPr>
    <w:rPr>
      <w:rFonts w:ascii="Calibri" w:eastAsia="Calibri" w:hAnsi="Calibri"/>
      <w:sz w:val="20"/>
      <w:szCs w:val="20"/>
      <w:lang w:eastAsia="en-US"/>
    </w:rPr>
  </w:style>
  <w:style w:type="paragraph" w:styleId="afe">
    <w:name w:val="caption"/>
    <w:basedOn w:val="a"/>
    <w:next w:val="a"/>
    <w:uiPriority w:val="35"/>
    <w:unhideWhenUsed/>
    <w:qFormat/>
    <w:rsid w:val="00ED4DB2"/>
    <w:pPr>
      <w:spacing w:after="200"/>
      <w:jc w:val="left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customStyle="1" w:styleId="rvts9">
    <w:name w:val="rvts9"/>
    <w:basedOn w:val="a0"/>
    <w:rsid w:val="00ED4DB2"/>
  </w:style>
  <w:style w:type="character" w:styleId="aff">
    <w:name w:val="annotation reference"/>
    <w:basedOn w:val="a0"/>
    <w:uiPriority w:val="99"/>
    <w:semiHidden/>
    <w:unhideWhenUsed/>
    <w:rsid w:val="00CA6367"/>
    <w:rPr>
      <w:sz w:val="16"/>
      <w:szCs w:val="16"/>
    </w:rPr>
  </w:style>
  <w:style w:type="paragraph" w:customStyle="1" w:styleId="rvps2">
    <w:name w:val="rvps2"/>
    <w:basedOn w:val="a"/>
    <w:rsid w:val="00CA636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CA6367"/>
  </w:style>
  <w:style w:type="paragraph" w:styleId="aff0">
    <w:name w:val="Normal (Web)"/>
    <w:basedOn w:val="a"/>
    <w:uiPriority w:val="99"/>
    <w:semiHidden/>
    <w:unhideWhenUsed/>
    <w:rsid w:val="004148D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f1">
    <w:name w:val="Revision"/>
    <w:hidden/>
    <w:uiPriority w:val="99"/>
    <w:semiHidden/>
    <w:rsid w:val="00224E1E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styleId="aff2">
    <w:name w:val="footnote reference"/>
    <w:basedOn w:val="a0"/>
    <w:uiPriority w:val="99"/>
    <w:semiHidden/>
    <w:unhideWhenUsed/>
    <w:rsid w:val="00C4762A"/>
    <w:rPr>
      <w:vertAlign w:val="superscript"/>
    </w:rPr>
  </w:style>
  <w:style w:type="character" w:customStyle="1" w:styleId="af4">
    <w:name w:val="Абзац списку Знак"/>
    <w:aliases w:val="Bullets Знак,Normal bullet 2 Знак"/>
    <w:link w:val="af3"/>
    <w:uiPriority w:val="34"/>
    <w:qFormat/>
    <w:locked/>
    <w:rsid w:val="00247960"/>
    <w:rPr>
      <w:rFonts w:ascii="Times New Roman" w:hAnsi="Times New Roman" w:cs="Times New Roman"/>
      <w:sz w:val="28"/>
      <w:szCs w:val="28"/>
      <w:lang w:eastAsia="uk-UA"/>
    </w:rPr>
  </w:style>
  <w:style w:type="character" w:styleId="aff3">
    <w:name w:val="FollowedHyperlink"/>
    <w:basedOn w:val="a0"/>
    <w:uiPriority w:val="99"/>
    <w:semiHidden/>
    <w:unhideWhenUsed/>
    <w:rsid w:val="006D7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7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1674C8D-B80F-449C-9506-F32307DB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45</Pages>
  <Words>31714</Words>
  <Characters>18078</Characters>
  <Application>Microsoft Office Word</Application>
  <DocSecurity>0</DocSecurity>
  <Lines>150</Lines>
  <Paragraphs>99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49693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cp:keywords/>
  <dc:description/>
  <cp:lastModifiedBy>Козлова Єлизавета Андріївна</cp:lastModifiedBy>
  <cp:revision>41</cp:revision>
  <cp:lastPrinted>2015-04-06T07:59:00Z</cp:lastPrinted>
  <dcterms:created xsi:type="dcterms:W3CDTF">2023-10-25T09:01:00Z</dcterms:created>
  <dcterms:modified xsi:type="dcterms:W3CDTF">2023-11-09T15:19:00Z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