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
        </w:rPr>
      </w:pPr>
    </w:p>
    <w:p>
      <w:pPr>
        <w:rPr>
          <w:sz w:val="2"/>
          <w:szCs w:val="2"/>
        </w:rPr>
      </w:pPr>
    </w:p>
    <w:tbl>
      <w:tblPr>
        <w:tblStyle w:val="39"/>
        <w:tblW w:w="10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08"/>
        <w:gridCol w:w="2872"/>
        <w:gridCol w:w="3558"/>
        <w:gridCol w:w="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After w:w="0" w:type="auto"/>
          <w:trHeight w:val="851" w:hRule="atLeast"/>
        </w:trPr>
        <w:tc>
          <w:tcPr>
            <w:tcW w:w="3208" w:type="dxa"/>
          </w:tcPr>
          <w:p>
            <w:pPr>
              <w:spacing w:after="160" w:line="259" w:lineRule="auto"/>
              <w:jc w:val="left"/>
            </w:pPr>
          </w:p>
        </w:tc>
        <w:tc>
          <w:tcPr>
            <w:tcW w:w="2872" w:type="dxa"/>
            <w:vMerge w:val="restart"/>
          </w:tcPr>
          <w:p>
            <w:pPr>
              <w:jc w:val="center"/>
            </w:pPr>
            <w:r>
              <w:object>
                <v:shape id="_x0000_i1025" o:spt="75" type="#_x0000_t75" style="height:47.9pt;width:33.4pt;" o:ole="t" filled="f" o:preferrelative="t" stroked="f" coordsize="21600,21600">
                  <v:path/>
                  <v:fill on="f" focussize="0,0"/>
                  <v:stroke on="f"/>
                  <v:imagedata r:id="rId7" o:title=""/>
                  <o:lock v:ext="edit" aspectratio="t"/>
                  <w10:wrap type="none"/>
                  <w10:anchorlock/>
                </v:shape>
                <o:OLEObject Type="Embed" ProgID="CorelDraw.Graphic.16" ShapeID="_x0000_i1025" DrawAspect="Content" ObjectID="_1468075725" r:id="rId6">
                  <o:LockedField>false</o:LockedField>
                </o:OLEObject>
              </w:object>
            </w:r>
          </w:p>
        </w:tc>
        <w:tc>
          <w:tcPr>
            <w:tcW w:w="3960" w:type="dxa"/>
            <w:gridSpan w:val="2"/>
          </w:tcPr>
          <w:p>
            <w:r>
              <w:rPr>
                <w:sz w:val="24"/>
                <w:szCs w:val="24"/>
              </w:rPr>
              <w:t>Офіційно опубліковано 15.08.2022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After w:w="0" w:type="auto"/>
        </w:trPr>
        <w:tc>
          <w:tcPr>
            <w:tcW w:w="3208" w:type="dxa"/>
          </w:tcPr>
          <w:p/>
        </w:tc>
        <w:tc>
          <w:tcPr>
            <w:tcW w:w="2872" w:type="dxa"/>
            <w:vMerge w:val="continue"/>
          </w:tcPr>
          <w:p/>
        </w:tc>
        <w:tc>
          <w:tcPr>
            <w:tcW w:w="3960" w:type="dxa"/>
            <w:gridSpan w:val="2"/>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02" w:type="dxa"/>
        </w:trPr>
        <w:tc>
          <w:tcPr>
            <w:tcW w:w="9638" w:type="dxa"/>
            <w:gridSpan w:val="3"/>
          </w:tcPr>
          <w:p>
            <w:pPr>
              <w:tabs>
                <w:tab w:val="left" w:pos="-3600"/>
              </w:tabs>
              <w:spacing w:before="120" w:after="120"/>
              <w:jc w:val="center"/>
              <w:rPr>
                <w:b/>
                <w:bCs/>
                <w:color w:val="006600"/>
                <w:spacing w:val="10"/>
              </w:rPr>
            </w:pPr>
            <w:r>
              <w:rPr>
                <w:b/>
                <w:bCs/>
                <w:color w:val="006600"/>
                <w:spacing w:val="10"/>
              </w:rPr>
              <w:t>Правління Національного банку України</w:t>
            </w:r>
          </w:p>
          <w:p>
            <w:pPr>
              <w:jc w:val="center"/>
            </w:pPr>
            <w:r>
              <w:rPr>
                <w:b/>
                <w:bCs/>
                <w:color w:val="006600"/>
                <w:sz w:val="32"/>
                <w:szCs w:val="32"/>
              </w:rPr>
              <w:t>П О С Т А Н О В А</w:t>
            </w:r>
          </w:p>
        </w:tc>
      </w:tr>
    </w:tbl>
    <w:p>
      <w:pPr>
        <w:rPr>
          <w:sz w:val="4"/>
          <w:szCs w:val="4"/>
        </w:rPr>
      </w:pPr>
    </w:p>
    <w:tbl>
      <w:tblPr>
        <w:tblStyle w:val="3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10"/>
        <w:gridCol w:w="2694"/>
        <w:gridCol w:w="1713"/>
        <w:gridCol w:w="1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10" w:type="dxa"/>
            <w:vAlign w:val="bottom"/>
          </w:tcPr>
          <w:p>
            <w:r>
              <w:t>12 серпня 2022 року</w:t>
            </w:r>
          </w:p>
        </w:tc>
        <w:tc>
          <w:tcPr>
            <w:tcW w:w="2694" w:type="dxa"/>
          </w:tcPr>
          <w:p>
            <w:pPr>
              <w:spacing w:before="240"/>
              <w:jc w:val="center"/>
            </w:pPr>
            <w:r>
              <w:rPr>
                <w:color w:val="006600"/>
              </w:rPr>
              <w:t>Київ</w:t>
            </w:r>
          </w:p>
        </w:tc>
        <w:tc>
          <w:tcPr>
            <w:tcW w:w="1713" w:type="dxa"/>
            <w:vAlign w:val="bottom"/>
          </w:tcPr>
          <w:p>
            <w:pPr>
              <w:jc w:val="right"/>
              <w:rPr>
                <w:lang w:val="en-US"/>
              </w:rPr>
            </w:pPr>
            <w:r>
              <w:rPr>
                <w:color w:val="FFFFFF" w:themeColor="background1"/>
                <w14:textFill>
                  <w14:solidFill>
                    <w14:schemeClr w14:val="bg1"/>
                  </w14:solidFill>
                </w14:textFill>
              </w:rPr>
              <w:t>№</w:t>
            </w:r>
          </w:p>
        </w:tc>
        <w:tc>
          <w:tcPr>
            <w:tcW w:w="1937" w:type="dxa"/>
            <w:vAlign w:val="bottom"/>
          </w:tcPr>
          <w:p>
            <w:pPr>
              <w:jc w:val="left"/>
            </w:pPr>
            <w:r>
              <w:t>№ 177</w:t>
            </w:r>
          </w:p>
        </w:tc>
      </w:tr>
    </w:tbl>
    <w:p>
      <w:pPr>
        <w:tabs>
          <w:tab w:val="left" w:pos="840"/>
          <w:tab w:val="center" w:pos="3293"/>
        </w:tabs>
        <w:jc w:val="center"/>
      </w:pPr>
    </w:p>
    <w:p>
      <w:pPr>
        <w:tabs>
          <w:tab w:val="left" w:pos="0"/>
          <w:tab w:val="center" w:pos="3293"/>
        </w:tabs>
        <w:jc w:val="center"/>
      </w:pPr>
      <w:r>
        <w:t xml:space="preserve">Про особливості застосування процедур реєстрації та ліцензування </w:t>
      </w:r>
    </w:p>
    <w:p>
      <w:pPr>
        <w:tabs>
          <w:tab w:val="left" w:pos="0"/>
          <w:tab w:val="center" w:pos="3293"/>
        </w:tabs>
        <w:jc w:val="center"/>
        <w:rPr>
          <w:bCs/>
        </w:rPr>
      </w:pPr>
      <w:r>
        <w:rPr>
          <w:bCs/>
        </w:rPr>
        <w:t xml:space="preserve">учасників ринку небанківських фінансових послуг у період дії воєнного стану та внесення змін до постанови Правління Національного банку України </w:t>
      </w:r>
    </w:p>
    <w:p>
      <w:pPr>
        <w:tabs>
          <w:tab w:val="left" w:pos="0"/>
          <w:tab w:val="center" w:pos="3293"/>
        </w:tabs>
        <w:jc w:val="center"/>
      </w:pPr>
      <w:r>
        <w:rPr>
          <w:bCs/>
        </w:rPr>
        <w:t>від 06 березня 2022 року № 39</w:t>
      </w:r>
    </w:p>
    <w:p>
      <w:pPr>
        <w:tabs>
          <w:tab w:val="left" w:pos="0"/>
        </w:tabs>
        <w:ind w:firstLine="567"/>
      </w:pPr>
    </w:p>
    <w:p>
      <w:pPr>
        <w:ind w:firstLine="567"/>
      </w:pPr>
    </w:p>
    <w:p>
      <w:pPr>
        <w:ind w:firstLine="567"/>
        <w:rPr>
          <w:b/>
          <w:color w:val="000000" w:themeColor="text1"/>
          <w14:textFill>
            <w14:solidFill>
              <w14:schemeClr w14:val="tx1"/>
            </w14:solidFill>
          </w14:textFill>
        </w:rPr>
      </w:pPr>
      <w:r>
        <w:t>Відповідно до статей 7, 15, 55</w:t>
      </w:r>
      <w:r>
        <w:rPr>
          <w:vertAlign w:val="superscript"/>
        </w:rPr>
        <w:t>1</w:t>
      </w:r>
      <w:r>
        <w:t xml:space="preserve">, 56 Закону України “Про Національний банк </w:t>
      </w:r>
      <w:r>
        <w:rPr>
          <w:color w:val="000000" w:themeColor="text1"/>
          <w14:textFill>
            <w14:solidFill>
              <w14:schemeClr w14:val="tx1"/>
            </w14:solidFill>
          </w14:textFill>
        </w:rPr>
        <w:t xml:space="preserve">України”, статей 19, 21, 28 Закону України “Про фінансові послуги та державне регулювання ринків фінансових послуг”, </w:t>
      </w:r>
      <w:r>
        <w:t xml:space="preserve">Указу Президента України від 24 лютого 2022 року № 64/2022 “Про введення воєнного стану в Україні”, </w:t>
      </w:r>
      <w:r>
        <w:rPr>
          <w:lang w:bidi="ar"/>
        </w:rPr>
        <w:t xml:space="preserve">затвердженого Законом України від 24 лютого 2022 року </w:t>
      </w:r>
      <w:r>
        <w:fldChar w:fldCharType="begin"/>
      </w:r>
      <w:r>
        <w:instrText xml:space="preserve"> HYPERLINK "https://zakon.rada.gov.ua/laws/show/2102-20" \t "/Users/irynapinchuk012725/Documentsx/_blank" </w:instrText>
      </w:r>
      <w:r>
        <w:fldChar w:fldCharType="separate"/>
      </w:r>
      <w:r>
        <w:t>№ 2102-IX</w:t>
      </w:r>
      <w:r>
        <w:fldChar w:fldCharType="end"/>
      </w:r>
      <w:r>
        <w:rPr>
          <w:lang w:val="en-US" w:bidi="ar"/>
        </w:rPr>
        <w:t> </w:t>
      </w:r>
      <w:r>
        <w:rPr>
          <w:lang w:bidi="ar"/>
        </w:rPr>
        <w:t>«Про затвердження Указу Президента України “Про введення воєнного стану в Україні”»</w:t>
      </w:r>
      <w:r>
        <w:t>,</w:t>
      </w:r>
      <w:r>
        <w:rPr>
          <w:color w:val="000000" w:themeColor="text1"/>
          <w14:textFill>
            <w14:solidFill>
              <w14:schemeClr w14:val="tx1"/>
            </w14:solidFill>
          </w14:textFill>
        </w:rPr>
        <w:t xml:space="preserve"> з метою забезпечення безпеки та фінансової стабільності фінансової системи і запобігання кризовим явищам у період запровадження воєнного стану Правління Національного банку України</w:t>
      </w:r>
      <w:r>
        <w:rPr>
          <w:b/>
          <w:color w:val="000000" w:themeColor="text1"/>
          <w14:textFill>
            <w14:solidFill>
              <w14:schemeClr w14:val="tx1"/>
            </w14:solidFill>
          </w14:textFill>
        </w:rPr>
        <w:t xml:space="preserve"> постановляє:</w:t>
      </w:r>
    </w:p>
    <w:p>
      <w:pPr>
        <w:pBdr>
          <w:top w:val="none" w:color="000000" w:sz="0" w:space="0"/>
          <w:left w:val="none" w:color="000000" w:sz="0" w:space="0"/>
          <w:bottom w:val="none" w:color="000000" w:sz="0" w:space="0"/>
          <w:right w:val="none" w:color="000000" w:sz="0" w:space="0"/>
          <w:between w:val="none" w:color="000000" w:sz="0" w:space="0"/>
        </w:pBdr>
        <w:tabs>
          <w:tab w:val="left" w:pos="993"/>
        </w:tabs>
        <w:ind w:firstLine="567"/>
        <w:rPr>
          <w:color w:val="000000" w:themeColor="text1"/>
          <w14:textFill>
            <w14:solidFill>
              <w14:schemeClr w14:val="tx1"/>
            </w14:solidFill>
          </w14:textFill>
        </w:rPr>
      </w:pPr>
    </w:p>
    <w:p>
      <w:pPr>
        <w:numPr>
          <w:ilvl w:val="0"/>
          <w:numId w:val="1"/>
        </w:numPr>
        <w:ind w:firstLine="567"/>
        <w:rPr>
          <w:bCs/>
          <w:lang w:eastAsia="uk-UA"/>
        </w:rPr>
      </w:pPr>
      <w:r>
        <w:rPr>
          <w:lang w:eastAsia="uk-UA"/>
        </w:rPr>
        <w:t>Небанківські фінансові установи зобов’язані протягом 9</w:t>
      </w:r>
      <w:r>
        <w:rPr>
          <w:bCs/>
          <w:lang w:eastAsia="uk-UA"/>
        </w:rPr>
        <w:t>0 календарних днів із дня набрання чинності цією постановою</w:t>
      </w:r>
      <w:r>
        <w:rPr>
          <w:bCs/>
        </w:rPr>
        <w:t xml:space="preserve"> </w:t>
      </w:r>
      <w:r>
        <w:rPr>
          <w:bCs/>
          <w:lang w:eastAsia="uk-UA"/>
        </w:rPr>
        <w:t xml:space="preserve">в один із способів, визначених у пункті 20 глави 2 розділу I </w:t>
      </w:r>
      <w:r>
        <w:rPr>
          <w:bCs/>
        </w:rPr>
        <w:t>Положення про ліцензування та реєстрацію надавачів фінансових послуг та умови провадження ними діяльності з надання фінансових послуг, затвердженого постановою Правління Національного банку України від 24 грудня 2021 року № 153 (зі змінами) (далі ‒ Положення про ліцензування та реєстрацію)</w:t>
      </w:r>
      <w:r>
        <w:rPr>
          <w:lang w:eastAsia="uk-UA"/>
        </w:rPr>
        <w:t xml:space="preserve">, подати до Національного банку України </w:t>
      </w:r>
      <w:r>
        <w:rPr>
          <w:bCs/>
        </w:rPr>
        <w:t>(далі – Національний банк)</w:t>
      </w:r>
      <w:r>
        <w:rPr>
          <w:lang w:eastAsia="uk-UA"/>
        </w:rPr>
        <w:t>:</w:t>
      </w:r>
    </w:p>
    <w:p>
      <w:pPr>
        <w:spacing w:after="0"/>
        <w:ind w:firstLine="567"/>
        <w:rPr>
          <w:lang w:eastAsia="uk-UA"/>
        </w:rPr>
      </w:pPr>
    </w:p>
    <w:p>
      <w:pPr>
        <w:numPr>
          <w:ilvl w:val="0"/>
          <w:numId w:val="2"/>
        </w:numPr>
        <w:ind w:firstLine="567"/>
        <w:rPr>
          <w:bCs/>
          <w:lang w:eastAsia="uk-UA"/>
        </w:rPr>
      </w:pPr>
      <w:r>
        <w:rPr>
          <w:lang w:eastAsia="uk-UA"/>
        </w:rPr>
        <w:t xml:space="preserve">письмове запевнення в довільній формі про </w:t>
      </w:r>
      <w:r>
        <w:rPr>
          <w:bCs/>
          <w:lang w:eastAsia="uk-UA"/>
        </w:rPr>
        <w:t>відповідність прямих та кінцевих власників істотної участі в небанківській фінансовій установі  вимогам щодо фінансового/майнового стану, установленим у пунктах 5 (щодо власників істотної участі юридичних осіб) та 6 (щодо власників істотної участі фізичних осіб) цієї постанови (далі ‒ запевнення);</w:t>
      </w:r>
    </w:p>
    <w:p>
      <w:pPr>
        <w:ind w:left="562"/>
        <w:rPr>
          <w:bCs/>
          <w:lang w:eastAsia="uk-UA"/>
        </w:rPr>
      </w:pPr>
    </w:p>
    <w:p>
      <w:pPr>
        <w:ind w:firstLine="562"/>
        <w:rPr>
          <w:bCs/>
          <w:lang w:eastAsia="uk-UA"/>
        </w:rPr>
      </w:pPr>
      <w:r>
        <w:rPr>
          <w:bCs/>
          <w:lang w:eastAsia="en-US"/>
        </w:rPr>
        <w:t xml:space="preserve">2) документи згідно з главами 38, 39 розділу V Положення </w:t>
      </w:r>
      <w:r>
        <w:rPr>
          <w:bCs/>
        </w:rPr>
        <w:t>про ліцензування та реєстрацію</w:t>
      </w:r>
      <w:r>
        <w:rPr>
          <w:bCs/>
          <w:lang w:eastAsia="en-US"/>
        </w:rPr>
        <w:t xml:space="preserve"> для оцінки фінансового/майнового стану </w:t>
      </w:r>
      <w:r>
        <w:rPr>
          <w:bCs/>
          <w:lang w:eastAsia="uk-UA"/>
        </w:rPr>
        <w:t xml:space="preserve">прямих і кінцевих власників істотної участі в небанківській фінансовій установі </w:t>
      </w:r>
      <w:r>
        <w:rPr>
          <w:bCs/>
          <w:lang w:eastAsia="en-US"/>
        </w:rPr>
        <w:t>станом на дату подання запевнення.</w:t>
      </w:r>
    </w:p>
    <w:p>
      <w:pPr>
        <w:rPr>
          <w:bCs/>
          <w:lang w:eastAsia="uk-UA"/>
        </w:rPr>
      </w:pPr>
    </w:p>
    <w:p>
      <w:pPr>
        <w:numPr>
          <w:ilvl w:val="0"/>
          <w:numId w:val="1"/>
        </w:numPr>
        <w:ind w:firstLine="567"/>
        <w:rPr>
          <w:bCs/>
          <w:lang w:eastAsia="uk-UA"/>
        </w:rPr>
      </w:pPr>
      <w:r>
        <w:rPr>
          <w:bCs/>
        </w:rPr>
        <w:t xml:space="preserve">Національний банк не здійснює оцінки фінансового стану осіб, визначених у пункті 302 глави 37 розділу </w:t>
      </w:r>
      <w:r>
        <w:rPr>
          <w:bCs/>
          <w:lang w:eastAsia="en-US"/>
        </w:rPr>
        <w:t xml:space="preserve">V Положення </w:t>
      </w:r>
      <w:r>
        <w:rPr>
          <w:bCs/>
        </w:rPr>
        <w:t>про ліцензування та реєстрацію, а також публічної компанії.</w:t>
      </w:r>
    </w:p>
    <w:p>
      <w:pPr>
        <w:ind w:firstLine="567"/>
        <w:rPr>
          <w:bCs/>
          <w:lang w:eastAsia="uk-UA"/>
        </w:rPr>
      </w:pPr>
      <w:r>
        <w:rPr>
          <w:bCs/>
          <w:lang w:eastAsia="uk-UA"/>
        </w:rPr>
        <w:t>Документи, визначені в пункті 1 цієї постанови, не подаються щодо осіб, оцінка фінансового стану яких не здійснюється.</w:t>
      </w:r>
    </w:p>
    <w:p>
      <w:pPr>
        <w:rPr>
          <w:bCs/>
          <w:lang w:eastAsia="uk-UA"/>
        </w:rPr>
      </w:pPr>
    </w:p>
    <w:p>
      <w:pPr>
        <w:numPr>
          <w:ilvl w:val="0"/>
          <w:numId w:val="1"/>
        </w:numPr>
        <w:ind w:firstLine="567"/>
        <w:rPr>
          <w:bCs/>
        </w:rPr>
      </w:pPr>
      <w:r>
        <w:rPr>
          <w:bCs/>
        </w:rPr>
        <w:t>Національний банк за результатами розгляду документів, визначених у пункті 1 цієї постанови, має право розглянути питання про відповідність власника істотної участі в небанківській фінансовій установі вимогам, установленим у пунктах 5, 6 цієї постанови.</w:t>
      </w:r>
    </w:p>
    <w:p>
      <w:pPr>
        <w:ind w:firstLine="560" w:firstLineChars="200"/>
        <w:rPr>
          <w:bCs/>
          <w:lang w:eastAsia="uk-UA"/>
        </w:rPr>
      </w:pPr>
      <w:r>
        <w:rPr>
          <w:bCs/>
          <w:lang w:eastAsia="uk-UA"/>
        </w:rPr>
        <w:t>Національний банк під час розгляду питання про відповідність власників істотної участі в небанківській фінансовій установі оцінює:</w:t>
      </w:r>
    </w:p>
    <w:p>
      <w:pPr>
        <w:ind w:firstLine="560" w:firstLineChars="200"/>
        <w:rPr>
          <w:bCs/>
          <w:lang w:eastAsia="uk-UA"/>
        </w:rPr>
      </w:pPr>
    </w:p>
    <w:p>
      <w:pPr>
        <w:ind w:firstLine="560" w:firstLineChars="200"/>
        <w:rPr>
          <w:bCs/>
          <w:lang w:eastAsia="uk-UA"/>
        </w:rPr>
      </w:pPr>
      <w:r>
        <w:rPr>
          <w:bCs/>
          <w:lang w:eastAsia="uk-UA"/>
        </w:rPr>
        <w:t>1) фінансовий стан юридичної особи, яка прямо та/або опосередковано володіє істотною участю в небанківській фінансовій установі;</w:t>
      </w:r>
    </w:p>
    <w:p>
      <w:pPr>
        <w:ind w:firstLine="560" w:firstLineChars="200"/>
        <w:rPr>
          <w:bCs/>
          <w:lang w:eastAsia="uk-UA"/>
        </w:rPr>
      </w:pPr>
    </w:p>
    <w:p>
      <w:pPr>
        <w:ind w:firstLine="560" w:firstLineChars="200"/>
        <w:rPr>
          <w:bCs/>
          <w:lang w:eastAsia="uk-UA"/>
        </w:rPr>
      </w:pPr>
      <w:bookmarkStart w:id="0" w:name="n416"/>
      <w:bookmarkEnd w:id="0"/>
      <w:r>
        <w:rPr>
          <w:bCs/>
          <w:lang w:eastAsia="uk-UA"/>
        </w:rPr>
        <w:t>2) майновий стан фізичної особи, яка прямо та/або опосередковано володіє істотною участю в небанківській фінансовій установі.</w:t>
      </w:r>
    </w:p>
    <w:p>
      <w:pPr>
        <w:ind w:firstLine="560" w:firstLineChars="200"/>
        <w:rPr>
          <w:bCs/>
          <w:lang w:eastAsia="uk-UA"/>
        </w:rPr>
      </w:pPr>
    </w:p>
    <w:p>
      <w:pPr>
        <w:numPr>
          <w:ilvl w:val="0"/>
          <w:numId w:val="1"/>
        </w:numPr>
        <w:ind w:firstLine="567"/>
        <w:rPr>
          <w:bCs/>
        </w:rPr>
      </w:pPr>
      <w:r>
        <w:rPr>
          <w:bCs/>
        </w:rPr>
        <w:t>Відповідною датою для оцінки фінансового/майнового стану юридичної/фізичної особи згідно з пунктом 3 цієї постанови є</w:t>
      </w:r>
      <w:bookmarkStart w:id="1" w:name="n419"/>
      <w:bookmarkEnd w:id="1"/>
      <w:bookmarkStart w:id="2" w:name="n1514"/>
      <w:bookmarkEnd w:id="2"/>
      <w:bookmarkStart w:id="3" w:name="n418"/>
      <w:bookmarkEnd w:id="3"/>
      <w:bookmarkStart w:id="4" w:name="n420"/>
      <w:bookmarkEnd w:id="4"/>
      <w:r>
        <w:rPr>
          <w:bCs/>
        </w:rPr>
        <w:t xml:space="preserve"> дата подання запевнення.</w:t>
      </w:r>
    </w:p>
    <w:p>
      <w:pPr>
        <w:ind w:left="567"/>
        <w:rPr>
          <w:bCs/>
        </w:rPr>
      </w:pPr>
    </w:p>
    <w:p>
      <w:pPr>
        <w:numPr>
          <w:ilvl w:val="0"/>
          <w:numId w:val="1"/>
        </w:numPr>
        <w:ind w:firstLine="567"/>
        <w:rPr>
          <w:bCs/>
          <w:lang w:eastAsia="uk-UA"/>
        </w:rPr>
      </w:pPr>
      <w:r>
        <w:rPr>
          <w:bCs/>
          <w:lang w:eastAsia="uk-UA"/>
        </w:rPr>
        <w:t>Фінансовий стан юридичної особи, яка прямо володіє істотною участю або є кінцевим власником у небанківській фінансовій установі, повинен  відповідати таким вимогам:</w:t>
      </w:r>
    </w:p>
    <w:p>
      <w:pPr>
        <w:spacing w:after="0"/>
        <w:ind w:firstLine="560" w:firstLineChars="200"/>
        <w:rPr>
          <w:bCs/>
          <w:lang w:eastAsia="uk-UA"/>
        </w:rPr>
      </w:pPr>
    </w:p>
    <w:p>
      <w:pPr>
        <w:ind w:firstLine="560" w:firstLineChars="200"/>
        <w:rPr>
          <w:bCs/>
          <w:lang w:eastAsia="uk-UA"/>
        </w:rPr>
      </w:pPr>
      <w:r>
        <w:rPr>
          <w:bCs/>
          <w:lang w:eastAsia="uk-UA"/>
        </w:rPr>
        <w:t>1) розмір власних коштів юридичної особи станом на відповідну дату або на останню звітну дату, що передує відповідній даті, є рівним або більшим, ніж більша з таких величин:</w:t>
      </w:r>
    </w:p>
    <w:p>
      <w:pPr>
        <w:ind w:firstLine="560" w:firstLineChars="200"/>
        <w:rPr>
          <w:bCs/>
          <w:lang w:eastAsia="uk-UA"/>
        </w:rPr>
      </w:pPr>
      <w:r>
        <w:rPr>
          <w:bCs/>
          <w:lang w:eastAsia="uk-UA"/>
        </w:rPr>
        <w:t>величина частини власного капіталу небанківської фінансової установи (крім страховика), пропорційна частці, яку становить розмір істотної участі особи в статутному (складеному) капіталі небанківської фінансової установи (крім страховика) (розмір власного капіталу визначається на кінець звітного періоду, що передує даті підтвердження розміру власних коштів);</w:t>
      </w:r>
    </w:p>
    <w:p>
      <w:pPr>
        <w:ind w:firstLine="560" w:firstLineChars="200"/>
        <w:rPr>
          <w:bCs/>
          <w:lang w:eastAsia="uk-UA"/>
        </w:rPr>
      </w:pPr>
      <w:r>
        <w:rPr>
          <w:bCs/>
          <w:lang w:eastAsia="uk-UA"/>
        </w:rPr>
        <w:t>величина частини статутного (складеного) капіталу небанківської фінансової установи (крім страховика), пропорційна частці, яку розмір істотної участі особи становить у статутному (складеному) капіталі небанківської фінансової установи (крім страховика);</w:t>
      </w:r>
    </w:p>
    <w:p>
      <w:pPr>
        <w:spacing w:after="120"/>
        <w:ind w:firstLine="560" w:firstLineChars="200"/>
        <w:rPr>
          <w:bCs/>
        </w:rPr>
      </w:pPr>
      <w:r>
        <w:rPr>
          <w:bCs/>
          <w:lang w:eastAsia="uk-UA"/>
        </w:rPr>
        <w:t>величина розрахункового нормативного запасу платоспроможності, пропорційна частці, яку становить розмір істотної участі особи в статутному (складеному) капіталі страховика (розмір розрахункового нормативного запасу платоспроможності визначається на кінець звітного періоду, що передує даті підтвердження розміру власних коштів);</w:t>
      </w:r>
    </w:p>
    <w:p>
      <w:pPr>
        <w:spacing w:after="120"/>
        <w:ind w:firstLine="560" w:firstLineChars="200"/>
        <w:rPr>
          <w:bCs/>
          <w:lang w:eastAsia="uk-UA"/>
        </w:rPr>
      </w:pPr>
      <w:r>
        <w:rPr>
          <w:bCs/>
          <w:lang w:eastAsia="uk-UA"/>
        </w:rPr>
        <w:t xml:space="preserve">2) джерела власних коштів юридичної особи є підтвердженими відповідно до підпункту 1 пункту 317, пунктів 318, 319 глави 38 розділу V Положення </w:t>
      </w:r>
      <w:r>
        <w:rPr>
          <w:bCs/>
        </w:rPr>
        <w:t>про ліцензування та реєстрацію</w:t>
      </w:r>
      <w:r>
        <w:rPr>
          <w:bCs/>
          <w:lang w:eastAsia="uk-UA"/>
        </w:rPr>
        <w:t>;</w:t>
      </w:r>
    </w:p>
    <w:p>
      <w:pPr>
        <w:ind w:firstLine="560" w:firstLineChars="200"/>
        <w:rPr>
          <w:bCs/>
          <w:lang w:eastAsia="uk-UA"/>
        </w:rPr>
      </w:pPr>
      <w:r>
        <w:rPr>
          <w:bCs/>
          <w:lang w:eastAsia="uk-UA"/>
        </w:rPr>
        <w:t xml:space="preserve">3) юридична особа є фінансово стійкою відповідно до пунктів 321−326 глави 38 розділу V Положення </w:t>
      </w:r>
      <w:r>
        <w:rPr>
          <w:bCs/>
        </w:rPr>
        <w:t>про ліцензування та реєстрацію</w:t>
      </w:r>
      <w:r>
        <w:rPr>
          <w:bCs/>
          <w:lang w:eastAsia="uk-UA"/>
        </w:rPr>
        <w:t xml:space="preserve"> та в неї немає ознак незадовільного фінансового стану, визначених у пункті 327 глави 38 розділу V Положення </w:t>
      </w:r>
      <w:r>
        <w:rPr>
          <w:bCs/>
        </w:rPr>
        <w:t>про ліцензування та реєстрацію</w:t>
      </w:r>
      <w:r>
        <w:rPr>
          <w:bCs/>
          <w:lang w:eastAsia="uk-UA"/>
        </w:rPr>
        <w:t>, станом на останню звітну дату, що передує відповідній даті, та на дату визначення розміру власних коштів юридичної особи (якщо ці дати є різними).</w:t>
      </w:r>
    </w:p>
    <w:p>
      <w:pPr>
        <w:ind w:firstLine="560" w:firstLineChars="200"/>
        <w:rPr>
          <w:bCs/>
          <w:lang w:eastAsia="en-US"/>
        </w:rPr>
      </w:pPr>
    </w:p>
    <w:p>
      <w:pPr>
        <w:numPr>
          <w:ilvl w:val="0"/>
          <w:numId w:val="1"/>
        </w:numPr>
        <w:ind w:firstLine="567"/>
        <w:rPr>
          <w:bCs/>
        </w:rPr>
      </w:pPr>
      <w:r>
        <w:rPr>
          <w:bCs/>
        </w:rPr>
        <w:t xml:space="preserve">Майновий стан фізичної особи, яка прямо та/або опосередковано володіє істотною участю в небанківській фінансовій установі, повинен </w:t>
      </w:r>
      <w:r>
        <w:rPr>
          <w:bCs/>
          <w:lang w:eastAsia="uk-UA"/>
        </w:rPr>
        <w:t>відповідати таким вимогам</w:t>
      </w:r>
      <w:r>
        <w:rPr>
          <w:bCs/>
        </w:rPr>
        <w:t>:</w:t>
      </w:r>
    </w:p>
    <w:p>
      <w:pPr>
        <w:ind w:left="567"/>
        <w:rPr>
          <w:bCs/>
        </w:rPr>
      </w:pPr>
    </w:p>
    <w:p>
      <w:pPr>
        <w:numPr>
          <w:ilvl w:val="0"/>
          <w:numId w:val="3"/>
        </w:numPr>
        <w:ind w:firstLine="560" w:firstLineChars="200"/>
        <w:rPr>
          <w:bCs/>
          <w:lang w:eastAsia="uk-UA"/>
        </w:rPr>
      </w:pPr>
      <w:r>
        <w:rPr>
          <w:bCs/>
          <w:lang w:eastAsia="uk-UA"/>
        </w:rPr>
        <w:t>розмір власних коштів фізичної особи станом на відповідну дату або на останній день кварталу, що передує відповідній даті, є рівним або більшим, ніж більша з таких величин:</w:t>
      </w:r>
    </w:p>
    <w:p>
      <w:pPr>
        <w:ind w:firstLine="560" w:firstLineChars="200"/>
        <w:rPr>
          <w:bCs/>
          <w:lang w:eastAsia="uk-UA"/>
        </w:rPr>
      </w:pPr>
      <w:r>
        <w:rPr>
          <w:bCs/>
          <w:lang w:eastAsia="uk-UA"/>
        </w:rPr>
        <w:t>величина частини власного капіталу небанківської фінансової установи (крім страховика), пропорційна частці, яку становить розмір істотної участі особи в статутному (складеному) капіталі небанківської фінансової установи (крім страховика) (розмір власного капіталу визначається на кінець звітного періоду, що передує даті підтвердження розміру власних коштів);</w:t>
      </w:r>
    </w:p>
    <w:p>
      <w:pPr>
        <w:ind w:firstLine="560" w:firstLineChars="200"/>
        <w:rPr>
          <w:bCs/>
          <w:lang w:eastAsia="uk-UA"/>
        </w:rPr>
      </w:pPr>
      <w:r>
        <w:rPr>
          <w:bCs/>
          <w:lang w:eastAsia="uk-UA"/>
        </w:rPr>
        <w:t>величина частини статутного (складеного) капіталу небанківської фінансової установи (крім страховика), пропорційна частці, яку становить розмір істотної участі особи в статутному (складеному) капіталі небанківської фінансової установи (крім страховика);</w:t>
      </w:r>
    </w:p>
    <w:p>
      <w:pPr>
        <w:numPr>
          <w:ilvl w:val="255"/>
          <w:numId w:val="0"/>
        </w:numPr>
        <w:ind w:firstLine="560" w:firstLineChars="200"/>
        <w:rPr>
          <w:bCs/>
          <w:lang w:eastAsia="uk-UA"/>
        </w:rPr>
      </w:pPr>
      <w:r>
        <w:rPr>
          <w:bCs/>
          <w:lang w:eastAsia="uk-UA"/>
        </w:rPr>
        <w:t>величина розрахункового нормативного запасу платоспроможності, пропорційна частці, яку становить розмір істотної участі особи в статутному (складеному) капіталі страховика (розмір розрахункового нормативного запасу платоспроможності визначається на кінець звітного періоду, що передує даті підтвердження розміру власних коштів);</w:t>
      </w:r>
    </w:p>
    <w:p>
      <w:pPr>
        <w:numPr>
          <w:ilvl w:val="255"/>
          <w:numId w:val="0"/>
        </w:numPr>
        <w:ind w:firstLine="560" w:firstLineChars="200"/>
        <w:rPr>
          <w:bCs/>
          <w:lang w:eastAsia="uk-UA"/>
        </w:rPr>
      </w:pPr>
    </w:p>
    <w:p>
      <w:pPr>
        <w:spacing w:after="120"/>
        <w:ind w:firstLine="560" w:firstLineChars="200"/>
        <w:rPr>
          <w:bCs/>
          <w:lang w:eastAsia="uk-UA"/>
        </w:rPr>
      </w:pPr>
      <w:r>
        <w:rPr>
          <w:bCs/>
          <w:lang w:eastAsia="uk-UA"/>
        </w:rPr>
        <w:t xml:space="preserve">2) джерела власних коштів фізичної особи є підтвердженими відповідно до пунктів 334 (крім абзацу третього підпункту 4 пункту 334) та 335 глави 39 розділу V Положення </w:t>
      </w:r>
      <w:r>
        <w:rPr>
          <w:bCs/>
        </w:rPr>
        <w:t>про ліцензування та реєстрацію</w:t>
      </w:r>
      <w:r>
        <w:rPr>
          <w:bCs/>
          <w:lang w:eastAsia="uk-UA"/>
        </w:rPr>
        <w:t>;</w:t>
      </w:r>
    </w:p>
    <w:p>
      <w:pPr>
        <w:spacing w:after="120"/>
        <w:ind w:firstLine="560" w:firstLineChars="200"/>
        <w:rPr>
          <w:bCs/>
          <w:lang w:eastAsia="uk-UA"/>
        </w:rPr>
      </w:pPr>
      <w:r>
        <w:rPr>
          <w:bCs/>
          <w:lang w:eastAsia="uk-UA"/>
        </w:rPr>
        <w:t xml:space="preserve">3) фізична особа є платоспроможною відповідно до пункту 336 глави 39 розділу V Положення </w:t>
      </w:r>
      <w:r>
        <w:rPr>
          <w:bCs/>
        </w:rPr>
        <w:t>про ліцензування та реєстрацію</w:t>
      </w:r>
      <w:r>
        <w:rPr>
          <w:bCs/>
          <w:lang w:eastAsia="uk-UA"/>
        </w:rPr>
        <w:t>.</w:t>
      </w:r>
    </w:p>
    <w:p>
      <w:pPr>
        <w:ind w:firstLine="560" w:firstLineChars="200"/>
        <w:rPr>
          <w:bCs/>
          <w:lang w:eastAsia="uk-UA"/>
        </w:rPr>
      </w:pPr>
    </w:p>
    <w:p>
      <w:pPr>
        <w:numPr>
          <w:ilvl w:val="0"/>
          <w:numId w:val="1"/>
        </w:numPr>
        <w:ind w:firstLine="567"/>
        <w:rPr>
          <w:bCs/>
          <w:color w:val="000000" w:themeColor="text1"/>
          <w14:textFill>
            <w14:solidFill>
              <w14:schemeClr w14:val="tx1"/>
            </w14:solidFill>
          </w14:textFill>
        </w:rPr>
      </w:pPr>
      <w:r>
        <w:rPr>
          <w:bCs/>
        </w:rPr>
        <w:t xml:space="preserve">Національний банк у разі невідповідності фінансового/майнового стану власника істотної участі в небанківській фінансовій установі вимогам пунктів 5, 6 цієї постанови має право прийняти рішення про невідповідність власника істотної участі в небанківській фінансовій установі вимогам законодавства України та відкликання (анулювання) ліцензії/ліцензій на </w:t>
      </w:r>
      <w:r>
        <w:rPr>
          <w:bCs/>
          <w:color w:val="000000" w:themeColor="text1"/>
          <w14:textFill>
            <w14:solidFill>
              <w14:schemeClr w14:val="tx1"/>
            </w14:solidFill>
          </w14:textFill>
        </w:rPr>
        <w:t xml:space="preserve">провадження діяльності з надання фінансових послуг у небанківської фінансової установи [рішення приймає Комітет з питань нагляду </w:t>
      </w:r>
      <w:r>
        <w:rPr>
          <w:color w:val="000000" w:themeColor="text1"/>
          <w:shd w:val="clear" w:color="auto" w:fill="FFFFFF"/>
          <w14:textFill>
            <w14:solidFill>
              <w14:schemeClr w14:val="tx1"/>
            </w14:solidFill>
          </w14:textFill>
        </w:rPr>
        <w:t xml:space="preserve">та регулювання діяльності ринків небанківських фінансових послуг (далі ‒ </w:t>
      </w:r>
      <w:r>
        <w:rPr>
          <w:bCs/>
          <w:color w:val="000000" w:themeColor="text1"/>
          <w14:textFill>
            <w14:solidFill>
              <w14:schemeClr w14:val="tx1"/>
            </w14:solidFill>
          </w14:textFill>
        </w:rPr>
        <w:t>Комітет з питань нагляду)].</w:t>
      </w:r>
    </w:p>
    <w:p>
      <w:pPr>
        <w:ind w:firstLine="567"/>
        <w:rPr>
          <w:color w:val="000000" w:themeColor="text1"/>
          <w14:textFill>
            <w14:solidFill>
              <w14:schemeClr w14:val="tx1"/>
            </w14:solidFill>
          </w14:textFill>
        </w:rPr>
      </w:pPr>
    </w:p>
    <w:p>
      <w:pPr>
        <w:numPr>
          <w:ilvl w:val="0"/>
          <w:numId w:val="1"/>
        </w:numPr>
        <w:ind w:firstLine="567"/>
        <w:rPr>
          <w:bCs/>
          <w:color w:val="000000" w:themeColor="text1"/>
          <w:lang w:eastAsia="uk-UA"/>
          <w14:textFill>
            <w14:solidFill>
              <w14:schemeClr w14:val="tx1"/>
            </w14:solidFill>
          </w14:textFill>
        </w:rPr>
      </w:pPr>
      <w:r>
        <w:rPr>
          <w:bCs/>
          <w:color w:val="000000" w:themeColor="text1"/>
          <w14:textFill>
            <w14:solidFill>
              <w14:schemeClr w14:val="tx1"/>
            </w14:solidFill>
          </w14:textFill>
        </w:rPr>
        <w:t xml:space="preserve">Строк для </w:t>
      </w:r>
      <w:r>
        <w:rPr>
          <w:bCs/>
          <w:color w:val="000000" w:themeColor="text1"/>
          <w:lang w:bidi="ar"/>
          <w14:textFill>
            <w14:solidFill>
              <w14:schemeClr w14:val="tx1"/>
            </w14:solidFill>
          </w14:textFill>
        </w:rPr>
        <w:t xml:space="preserve">прийняття Національним банком рішення про відкликання (анулювання) ліцензії (ліцензій) на провадження діяльності з надання фінансових послуг або про відмову в її (їх) анулюванні (відкликанні), </w:t>
      </w:r>
      <w:r>
        <w:rPr>
          <w:bCs/>
          <w:color w:val="000000" w:themeColor="text1"/>
          <w14:textFill>
            <w14:solidFill>
              <w14:schemeClr w14:val="tx1"/>
            </w14:solidFill>
          </w14:textFill>
        </w:rPr>
        <w:t xml:space="preserve">визначений </w:t>
      </w:r>
      <w:r>
        <w:rPr>
          <w:bCs/>
          <w:color w:val="000000" w:themeColor="text1"/>
          <w:lang w:eastAsia="uk-UA"/>
          <w14:textFill>
            <w14:solidFill>
              <w14:schemeClr w14:val="tx1"/>
            </w14:solidFill>
          </w14:textFill>
        </w:rPr>
        <w:t xml:space="preserve">в пункті 522 глави 65 розділу </w:t>
      </w:r>
      <w:r>
        <w:rPr>
          <w:bCs/>
          <w:color w:val="000000" w:themeColor="text1"/>
          <w:lang w:val="en-US" w:eastAsia="uk-UA"/>
          <w14:textFill>
            <w14:solidFill>
              <w14:schemeClr w14:val="tx1"/>
            </w14:solidFill>
          </w14:textFill>
        </w:rPr>
        <w:t>XI</w:t>
      </w:r>
      <w:r>
        <w:rPr>
          <w:bCs/>
          <w:color w:val="000000" w:themeColor="text1"/>
          <w:lang w:eastAsia="uk-UA"/>
          <w14:textFill>
            <w14:solidFill>
              <w14:schemeClr w14:val="tx1"/>
            </w14:solidFill>
          </w14:textFill>
        </w:rPr>
        <w:t xml:space="preserve"> Положення </w:t>
      </w:r>
      <w:r>
        <w:rPr>
          <w:bCs/>
          <w:color w:val="000000" w:themeColor="text1"/>
          <w14:textFill>
            <w14:solidFill>
              <w14:schemeClr w14:val="tx1"/>
            </w14:solidFill>
          </w14:textFill>
        </w:rPr>
        <w:t>про ліцензування та реєстрацію, у період дії воєнного стану в Україні не застосовується</w:t>
      </w:r>
      <w:r>
        <w:rPr>
          <w:bCs/>
          <w:color w:val="000000" w:themeColor="text1"/>
          <w:lang w:eastAsia="uk-UA"/>
          <w14:textFill>
            <w14:solidFill>
              <w14:schemeClr w14:val="tx1"/>
            </w14:solidFill>
          </w14:textFill>
        </w:rPr>
        <w:t xml:space="preserve">. </w:t>
      </w:r>
    </w:p>
    <w:p>
      <w:pPr>
        <w:pStyle w:val="223"/>
        <w:rPr>
          <w:bCs/>
          <w:lang w:eastAsia="uk-UA"/>
        </w:rPr>
      </w:pPr>
    </w:p>
    <w:p>
      <w:pPr>
        <w:numPr>
          <w:ilvl w:val="0"/>
          <w:numId w:val="1"/>
        </w:numPr>
        <w:ind w:firstLine="567"/>
        <w:rPr>
          <w:bCs/>
          <w:lang w:eastAsia="uk-UA"/>
        </w:rPr>
      </w:pPr>
      <w:r>
        <w:rPr>
          <w:bCs/>
        </w:rPr>
        <w:t xml:space="preserve">Національний банк виключає відомості про юридичну особу з </w:t>
      </w:r>
      <w:r>
        <w:rPr>
          <w:bCs/>
          <w:lang w:eastAsia="uk-UA"/>
        </w:rPr>
        <w:t xml:space="preserve">Державного реєстру фінансових установ, Реєстру осіб, які не є фінансовими установами, але мають право надавати окремі фінансові послуги (далі – </w:t>
      </w:r>
      <w:r>
        <w:rPr>
          <w:bCs/>
        </w:rPr>
        <w:t xml:space="preserve">Реєстр), якщо в такої особи протягом трьох місяців поспіль немає ліцензії/ліцензій на провадження діяльності з надання фінансових послуг (крім випадків, коли відповідний пакет документів розглядається Національним банком) (рішення приймає Комітет з питань нагляду). </w:t>
      </w:r>
    </w:p>
    <w:p>
      <w:pPr>
        <w:rPr>
          <w:color w:val="000000" w:themeColor="text1"/>
          <w14:textFill>
            <w14:solidFill>
              <w14:schemeClr w14:val="tx1"/>
            </w14:solidFill>
          </w14:textFill>
        </w:rPr>
      </w:pPr>
    </w:p>
    <w:p>
      <w:pPr>
        <w:numPr>
          <w:ilvl w:val="0"/>
          <w:numId w:val="1"/>
        </w:numPr>
        <w:ind w:firstLine="567"/>
        <w:rPr>
          <w:bCs/>
          <w:lang w:eastAsia="uk-UA"/>
        </w:rPr>
      </w:pPr>
      <w:r>
        <w:rPr>
          <w:bCs/>
          <w:lang w:eastAsia="uk-UA"/>
        </w:rPr>
        <w:t xml:space="preserve">Підставою для виключення відомостей про юридичну особу з Реєстру відповідно до вимог цієї постанови, крім випадків, визначених у пункті 560 глави 68 розділу </w:t>
      </w:r>
      <w:r>
        <w:rPr>
          <w:bCs/>
          <w:lang w:val="en-US" w:eastAsia="uk-UA"/>
        </w:rPr>
        <w:t>XI</w:t>
      </w:r>
      <w:r>
        <w:rPr>
          <w:bCs/>
          <w:lang w:eastAsia="uk-UA"/>
        </w:rPr>
        <w:t xml:space="preserve"> Положення про ліцензування та реєстрацію, є:</w:t>
      </w:r>
    </w:p>
    <w:p>
      <w:pPr>
        <w:ind w:left="6" w:firstLine="560" w:firstLineChars="200"/>
        <w:rPr>
          <w:bCs/>
          <w:lang w:eastAsia="uk-UA"/>
        </w:rPr>
      </w:pPr>
    </w:p>
    <w:p>
      <w:pPr>
        <w:ind w:left="6" w:firstLine="560" w:firstLineChars="200"/>
        <w:rPr>
          <w:bCs/>
          <w:lang w:eastAsia="uk-UA"/>
        </w:rPr>
      </w:pPr>
      <w:r>
        <w:rPr>
          <w:bCs/>
          <w:lang w:eastAsia="uk-UA"/>
        </w:rPr>
        <w:t>1) прийняття Національним банком рішення про анулювання (відкликання) усіх ліцензій на провадження діяльності з надання фінансових послуг, наявних у надавача фінансових послуг;</w:t>
      </w:r>
    </w:p>
    <w:p>
      <w:pPr>
        <w:ind w:left="6" w:firstLine="560" w:firstLineChars="200"/>
        <w:rPr>
          <w:bCs/>
          <w:lang w:eastAsia="uk-UA"/>
        </w:rPr>
      </w:pPr>
    </w:p>
    <w:p>
      <w:pPr>
        <w:numPr>
          <w:ilvl w:val="0"/>
          <w:numId w:val="4"/>
        </w:numPr>
        <w:ind w:left="6" w:firstLine="560" w:firstLineChars="200"/>
        <w:rPr>
          <w:bCs/>
          <w:lang w:eastAsia="uk-UA"/>
        </w:rPr>
      </w:pPr>
      <w:r>
        <w:rPr>
          <w:bCs/>
          <w:lang w:eastAsia="uk-UA"/>
        </w:rPr>
        <w:t xml:space="preserve">заява надавача фінансових послуг про виключення з Реєстру, якщо немає  жодної ліцензії на провадження діяльності з надання фінансових послуг; </w:t>
      </w:r>
    </w:p>
    <w:p>
      <w:pPr>
        <w:ind w:left="560" w:leftChars="200"/>
        <w:rPr>
          <w:bCs/>
          <w:lang w:eastAsia="uk-UA"/>
        </w:rPr>
      </w:pPr>
    </w:p>
    <w:p>
      <w:pPr>
        <w:numPr>
          <w:ilvl w:val="0"/>
          <w:numId w:val="4"/>
        </w:numPr>
        <w:ind w:left="6" w:firstLine="560" w:firstLineChars="200"/>
        <w:rPr>
          <w:bCs/>
          <w:lang w:eastAsia="uk-UA"/>
        </w:rPr>
      </w:pPr>
      <w:r>
        <w:rPr>
          <w:bCs/>
          <w:lang w:eastAsia="uk-UA"/>
        </w:rPr>
        <w:t>не отримання ліцензії на провадження діяльності з надання фінансових послуг протягом строку, визначеного в пункті 398 глави 47 розділу VII Положення про ліцензування та реєстрацію;</w:t>
      </w:r>
    </w:p>
    <w:p>
      <w:pPr>
        <w:ind w:left="560" w:leftChars="200"/>
        <w:rPr>
          <w:bCs/>
          <w:lang w:eastAsia="uk-UA"/>
        </w:rPr>
      </w:pPr>
    </w:p>
    <w:p>
      <w:pPr>
        <w:numPr>
          <w:ilvl w:val="0"/>
          <w:numId w:val="4"/>
        </w:numPr>
        <w:ind w:left="6" w:firstLine="560" w:firstLineChars="200"/>
        <w:rPr>
          <w:bCs/>
          <w:lang w:eastAsia="uk-UA"/>
        </w:rPr>
      </w:pPr>
      <w:r>
        <w:rPr>
          <w:bCs/>
          <w:lang w:eastAsia="uk-UA"/>
        </w:rPr>
        <w:t>інші випадки, визначені законодавством України.</w:t>
      </w:r>
    </w:p>
    <w:p>
      <w:pPr>
        <w:ind w:left="7" w:firstLine="560" w:firstLineChars="200"/>
        <w:rPr>
          <w:bCs/>
          <w:lang w:eastAsia="uk-UA"/>
        </w:rPr>
      </w:pPr>
      <w:r>
        <w:rPr>
          <w:bCs/>
          <w:lang w:eastAsia="uk-UA"/>
        </w:rPr>
        <w:t>Рішення про виключення відомостей про юридичну особу з Реєстру приймає Комітет з питань нагляду.</w:t>
      </w:r>
    </w:p>
    <w:p>
      <w:pPr>
        <w:ind w:left="7" w:firstLine="480" w:firstLineChars="200"/>
        <w:rPr>
          <w:bCs/>
          <w:sz w:val="24"/>
          <w:szCs w:val="24"/>
          <w:lang w:eastAsia="uk-UA"/>
        </w:rPr>
      </w:pPr>
    </w:p>
    <w:p>
      <w:pPr>
        <w:pStyle w:val="223"/>
        <w:numPr>
          <w:ilvl w:val="0"/>
          <w:numId w:val="1"/>
        </w:numPr>
        <w:ind w:left="0" w:firstLine="567"/>
        <w:rPr>
          <w:bCs/>
          <w:color w:val="000000" w:themeColor="text1"/>
          <w:lang w:eastAsia="uk-UA"/>
          <w14:textFill>
            <w14:solidFill>
              <w14:schemeClr w14:val="tx1"/>
            </w14:solidFill>
          </w14:textFill>
        </w:rPr>
      </w:pPr>
      <w:r>
        <w:rPr>
          <w:color w:val="000000" w:themeColor="text1"/>
          <w:shd w:val="clear" w:color="auto" w:fill="FFFFFF"/>
          <w14:textFill>
            <w14:solidFill>
              <w14:schemeClr w14:val="tx1"/>
            </w14:solidFill>
          </w14:textFill>
        </w:rPr>
        <w:t>Унести до постанови Правління Національного банку України від 06 березня 2022 року № 39 “Про врегулювання діяльності учасників ринку небанківських фінансових послуг, небанківських фінансових груп, учасників платіжного ринку, колекторських компаній та юридичних осіб, які отримали ліцензію на надання банкам послуг з інкасації” (зі змінами) такі зміни:</w:t>
      </w:r>
    </w:p>
    <w:p>
      <w:pPr>
        <w:ind w:firstLine="567"/>
        <w:rPr>
          <w:bCs/>
          <w:color w:val="000000" w:themeColor="text1"/>
          <w:sz w:val="24"/>
          <w:szCs w:val="24"/>
          <w:lang w:eastAsia="uk-UA"/>
          <w14:textFill>
            <w14:solidFill>
              <w14:schemeClr w14:val="tx1"/>
            </w14:solidFill>
          </w14:textFill>
        </w:rPr>
      </w:pPr>
    </w:p>
    <w:p>
      <w:pPr>
        <w:ind w:firstLine="567"/>
        <w:rPr>
          <w:bCs/>
          <w:color w:val="000000" w:themeColor="text1"/>
          <w:lang w:eastAsia="uk-UA"/>
          <w14:textFill>
            <w14:solidFill>
              <w14:schemeClr w14:val="tx1"/>
            </w14:solidFill>
          </w14:textFill>
        </w:rPr>
      </w:pPr>
      <w:r>
        <w:rPr>
          <w:bCs/>
          <w:color w:val="000000" w:themeColor="text1"/>
          <w:lang w:eastAsia="uk-UA"/>
          <w14:textFill>
            <w14:solidFill>
              <w14:schemeClr w14:val="tx1"/>
            </w14:solidFill>
          </w14:textFill>
        </w:rPr>
        <w:t>1) постанову після пункту 19</w:t>
      </w:r>
      <w:r>
        <w:rPr>
          <w:bCs/>
          <w:color w:val="000000" w:themeColor="text1"/>
          <w:vertAlign w:val="superscript"/>
          <w:lang w:eastAsia="uk-UA"/>
          <w14:textFill>
            <w14:solidFill>
              <w14:schemeClr w14:val="tx1"/>
            </w14:solidFill>
          </w14:textFill>
        </w:rPr>
        <w:t>1</w:t>
      </w:r>
      <w:r>
        <w:rPr>
          <w:bCs/>
          <w:color w:val="000000" w:themeColor="text1"/>
          <w:lang w:eastAsia="uk-UA"/>
          <w14:textFill>
            <w14:solidFill>
              <w14:schemeClr w14:val="tx1"/>
            </w14:solidFill>
          </w14:textFill>
        </w:rPr>
        <w:t xml:space="preserve"> доповнити новим пунктом 19</w:t>
      </w:r>
      <w:r>
        <w:rPr>
          <w:bCs/>
          <w:color w:val="000000" w:themeColor="text1"/>
          <w:vertAlign w:val="superscript"/>
          <w:lang w:eastAsia="uk-UA"/>
          <w14:textFill>
            <w14:solidFill>
              <w14:schemeClr w14:val="tx1"/>
            </w14:solidFill>
          </w14:textFill>
        </w:rPr>
        <w:t>2</w:t>
      </w:r>
      <w:r>
        <w:rPr>
          <w:bCs/>
          <w:color w:val="000000" w:themeColor="text1"/>
          <w:lang w:eastAsia="uk-UA"/>
          <w14:textFill>
            <w14:solidFill>
              <w14:schemeClr w14:val="tx1"/>
            </w14:solidFill>
          </w14:textFill>
        </w:rPr>
        <w:t xml:space="preserve"> такого змісту:</w:t>
      </w:r>
    </w:p>
    <w:p>
      <w:pPr>
        <w:ind w:firstLine="567"/>
        <w:rPr>
          <w:bCs/>
          <w:color w:val="000000" w:themeColor="text1"/>
          <w:lang w:eastAsia="uk-UA"/>
          <w14:textFill>
            <w14:solidFill>
              <w14:schemeClr w14:val="tx1"/>
            </w14:solidFill>
          </w14:textFill>
        </w:rPr>
      </w:pPr>
      <w:r>
        <w:rPr>
          <w:bCs/>
          <w:color w:val="000000" w:themeColor="text1"/>
          <w:lang w:val="ru-RU" w:eastAsia="uk-UA"/>
          <w14:textFill>
            <w14:solidFill>
              <w14:schemeClr w14:val="tx1"/>
            </w14:solidFill>
          </w14:textFill>
        </w:rPr>
        <w:t>“</w:t>
      </w:r>
      <w:r>
        <w:rPr>
          <w:bCs/>
          <w:color w:val="000000" w:themeColor="text1"/>
          <w:lang w:eastAsia="uk-UA"/>
          <w14:textFill>
            <w14:solidFill>
              <w14:schemeClr w14:val="tx1"/>
            </w14:solidFill>
          </w14:textFill>
        </w:rPr>
        <w:t>19</w:t>
      </w:r>
      <w:r>
        <w:rPr>
          <w:bCs/>
          <w:color w:val="000000" w:themeColor="text1"/>
          <w:vertAlign w:val="superscript"/>
          <w:lang w:eastAsia="uk-UA"/>
          <w14:textFill>
            <w14:solidFill>
              <w14:schemeClr w14:val="tx1"/>
            </w14:solidFill>
          </w14:textFill>
        </w:rPr>
        <w:t>2</w:t>
      </w:r>
      <w:r>
        <w:rPr>
          <w:bCs/>
          <w:color w:val="000000" w:themeColor="text1"/>
          <w:lang w:eastAsia="uk-UA"/>
          <w14:textFill>
            <w14:solidFill>
              <w14:schemeClr w14:val="tx1"/>
            </w14:solidFill>
          </w14:textFill>
        </w:rPr>
        <w:t>. Протягом дії воєнного стану в Україні Положення про вимоги до структури власності надавачів фінансових послуг, затверджене постановою Правління Національного банку України від 14 квітня 2021 року № 30 (далі ‒ Положення № 30), застосовується з такими особливостями:</w:t>
      </w:r>
    </w:p>
    <w:p>
      <w:pPr>
        <w:ind w:firstLine="567"/>
        <w:rPr>
          <w:bCs/>
          <w:color w:val="000000" w:themeColor="text1"/>
          <w:sz w:val="24"/>
          <w:szCs w:val="24"/>
          <w:lang w:eastAsia="uk-UA"/>
          <w14:textFill>
            <w14:solidFill>
              <w14:schemeClr w14:val="tx1"/>
            </w14:solidFill>
          </w14:textFill>
        </w:rPr>
      </w:pPr>
    </w:p>
    <w:p>
      <w:pPr>
        <w:pStyle w:val="223"/>
        <w:numPr>
          <w:ilvl w:val="0"/>
          <w:numId w:val="5"/>
        </w:numPr>
        <w:tabs>
          <w:tab w:val="left" w:pos="993"/>
        </w:tabs>
        <w:spacing w:after="120"/>
        <w:ind w:left="0" w:firstLine="567"/>
        <w:contextualSpacing w:val="0"/>
        <w:rPr>
          <w:bCs/>
          <w:color w:val="000000" w:themeColor="text1"/>
          <w:lang w:eastAsia="uk-UA"/>
          <w14:textFill>
            <w14:solidFill>
              <w14:schemeClr w14:val="tx1"/>
            </w14:solidFill>
          </w14:textFill>
        </w:rPr>
      </w:pPr>
      <w:r>
        <w:rPr>
          <w:bCs/>
          <w:color w:val="000000" w:themeColor="text1"/>
          <w:lang w:eastAsia="uk-UA"/>
          <w14:textFill>
            <w14:solidFill>
              <w14:schemeClr w14:val="tx1"/>
            </w14:solidFill>
          </w14:textFill>
        </w:rPr>
        <w:t>Національний банк в особі уповноваженої посадової особи Національного банку має право здійснювати офіційну комунікацію з надавачем фінансових послуг засобами корпоративної електронної пошти (е-mail) Національного банку (шляхом надсилання повідомлення з офіційної електронної пошти Національного банку nbu@bank.gov.ua);</w:t>
      </w:r>
    </w:p>
    <w:p>
      <w:pPr>
        <w:pStyle w:val="223"/>
        <w:numPr>
          <w:ilvl w:val="0"/>
          <w:numId w:val="5"/>
        </w:numPr>
        <w:tabs>
          <w:tab w:val="left" w:pos="993"/>
        </w:tabs>
        <w:spacing w:after="120"/>
        <w:ind w:left="0" w:firstLine="567"/>
        <w:contextualSpacing w:val="0"/>
        <w:rPr>
          <w:bCs/>
          <w:lang w:eastAsia="uk-UA"/>
        </w:rPr>
      </w:pPr>
      <w:r>
        <w:rPr>
          <w:bCs/>
          <w:lang w:eastAsia="uk-UA"/>
        </w:rPr>
        <w:t xml:space="preserve">комунікація Національного банку </w:t>
      </w:r>
      <w:r>
        <w:rPr>
          <w:bCs/>
          <w:color w:val="000000" w:themeColor="text1"/>
          <w:lang w:eastAsia="uk-UA"/>
          <w14:textFill>
            <w14:solidFill>
              <w14:schemeClr w14:val="tx1"/>
            </w14:solidFill>
          </w14:textFill>
        </w:rPr>
        <w:t>з надавачем фінансових послуг може включати</w:t>
      </w:r>
      <w:r>
        <w:rPr>
          <w:bCs/>
          <w:lang w:eastAsia="uk-UA"/>
        </w:rPr>
        <w:t xml:space="preserve"> надсилання письмового повідомлення надавачу фінансових послуг про виявлення невідповідності його структури власності вимогам до структури власності, визначеним у розділі III Положення № 30;</w:t>
      </w:r>
    </w:p>
    <w:p>
      <w:pPr>
        <w:pStyle w:val="223"/>
        <w:numPr>
          <w:ilvl w:val="0"/>
          <w:numId w:val="5"/>
        </w:numPr>
        <w:tabs>
          <w:tab w:val="left" w:pos="993"/>
        </w:tabs>
        <w:spacing w:after="120"/>
        <w:ind w:left="0" w:firstLine="567"/>
        <w:contextualSpacing w:val="0"/>
        <w:rPr>
          <w:bCs/>
          <w:lang w:eastAsia="uk-UA"/>
        </w:rPr>
      </w:pPr>
      <w:r>
        <w:rPr>
          <w:bCs/>
          <w:lang w:eastAsia="uk-UA"/>
        </w:rPr>
        <w:t>Національний банк за потреби в отриманні додаткових пояснень, інформації та/або документів з метою уточнення відомостей, наведених у поданих до Національного банку документах та потрібних для прийняття Національним банком рішень відповідно до Положення № 30, має право вимагати від надавача фінансових послуг та/або його власників істотної участі, та/або його остаточних ключових учасників надання таких пояснень, інформації та/або документів, а також установлювати строк для надання таких пояснень, інформації та/або документів, але не менше ніж п’ять робочих днів із дня отримання вимоги Національного банку;</w:t>
      </w:r>
    </w:p>
    <w:p>
      <w:pPr>
        <w:pStyle w:val="223"/>
        <w:numPr>
          <w:ilvl w:val="0"/>
          <w:numId w:val="5"/>
        </w:numPr>
        <w:tabs>
          <w:tab w:val="left" w:pos="993"/>
        </w:tabs>
        <w:spacing w:after="120"/>
        <w:ind w:left="0" w:firstLine="567"/>
        <w:contextualSpacing w:val="0"/>
        <w:rPr>
          <w:bCs/>
          <w:lang w:eastAsia="uk-UA"/>
        </w:rPr>
      </w:pPr>
      <w:r>
        <w:rPr>
          <w:bCs/>
          <w:lang w:eastAsia="uk-UA"/>
        </w:rPr>
        <w:t>надавач фінансових послуг та/або власник істотної участі, та/або остаточний ключовий учасник надавача фінансових послуг мають (має) право подати клопотання про продовження строків надання пояснень, інформації та/або документів, визначених у пункті 15 розділу I Положення № 30, а також відповідні підтвердні документи до наданих пояснень та інформації;</w:t>
      </w:r>
    </w:p>
    <w:p>
      <w:pPr>
        <w:pStyle w:val="223"/>
        <w:numPr>
          <w:ilvl w:val="0"/>
          <w:numId w:val="5"/>
        </w:numPr>
        <w:tabs>
          <w:tab w:val="left" w:pos="993"/>
        </w:tabs>
        <w:spacing w:after="120"/>
        <w:ind w:left="0" w:firstLine="567"/>
        <w:contextualSpacing w:val="0"/>
        <w:rPr>
          <w:bCs/>
          <w:lang w:eastAsia="uk-UA"/>
        </w:rPr>
      </w:pPr>
      <w:r>
        <w:rPr>
          <w:bCs/>
          <w:lang w:eastAsia="uk-UA"/>
        </w:rPr>
        <w:t xml:space="preserve">Національний банк у разі здійснення повної перевірки структури власності надавача фінансових послуг, визначеної в пункті 42 розділу </w:t>
      </w:r>
      <w:r>
        <w:rPr>
          <w:bCs/>
          <w:lang w:val="en-US" w:eastAsia="uk-UA"/>
        </w:rPr>
        <w:t>V</w:t>
      </w:r>
      <w:r>
        <w:rPr>
          <w:bCs/>
          <w:lang w:val="ru-RU" w:eastAsia="uk-UA"/>
        </w:rPr>
        <w:t xml:space="preserve"> </w:t>
      </w:r>
      <w:r>
        <w:rPr>
          <w:bCs/>
          <w:lang w:eastAsia="uk-UA"/>
        </w:rPr>
        <w:t>Положення № 30, має право вимагати в надавача фінансових послуг, власника істотної участі в надавачі фінансових послуг або будь-якої особи, яка входить до складу 10 найбільших остаточних ключових учасників у структурі власності надавача фінансових послуг, надання додаткових документів та пояснень для оцінки відомостей про структуру власності та встановити строк для надання таких пояснень та/або документів, але не менше ніж п’ять робочих днів із дня отримання вимоги Національного банку;</w:t>
      </w:r>
    </w:p>
    <w:p>
      <w:pPr>
        <w:pStyle w:val="223"/>
        <w:numPr>
          <w:ilvl w:val="0"/>
          <w:numId w:val="5"/>
        </w:numPr>
        <w:tabs>
          <w:tab w:val="left" w:pos="993"/>
        </w:tabs>
        <w:spacing w:after="120"/>
        <w:ind w:left="0" w:firstLine="567"/>
        <w:contextualSpacing w:val="0"/>
        <w:rPr>
          <w:bCs/>
          <w:lang w:eastAsia="uk-UA"/>
        </w:rPr>
      </w:pPr>
      <w:r>
        <w:rPr>
          <w:bCs/>
          <w:lang w:eastAsia="uk-UA"/>
        </w:rPr>
        <w:t xml:space="preserve">Національний банк за наявності підстав уважати, що будь-яка особа, яка входить до складу 10 найбільших остаточних ключових учасників у структурі власності надавача фінансових послуг, є номінальним (довірчим) власником, тобто особою, яка володіє акціями або частками юридичної особи на користь (в інтересах) іншої особи та виконує юридично значущі дії щодо таких акцій або часток лише на підставі інструкцій і вказівок іншої особи, або з метою підтвердження або спростування підстав уважати, що структура власності надавача фінансових послуг не відповідає вимогам, установленим у розділі ІІІ Положення № 30, має право запитати в будь-якої особи, яка входить до складу 10 найбільших остаточних ключових учасників у структурі власності надавача фінансових послуг, додаткові документи, уключаючи документи для оцінки фінансового/майнового стану такої особи </w:t>
      </w:r>
      <w:r>
        <w:rPr>
          <w:bCs/>
          <w:lang w:eastAsia="en-US"/>
        </w:rPr>
        <w:t xml:space="preserve">згідно з главами 38, 39 розділу V Положення </w:t>
      </w:r>
      <w:r>
        <w:rPr>
          <w:bCs/>
          <w:lang w:eastAsia="uk-UA"/>
        </w:rPr>
        <w:t>про ліцензування та реєстрацію, а також установити строк для подання таких документів, але не менше ніж п’ять робочих днів із дня отримання запиту Національного банку. Національний банк здійснює оцінку фінансового/майнового стану остаточних ключових учасників у структурі власності надавача фінансових послуг у порядку, визначеному Положенням про ліцензування та реєстрацію;</w:t>
      </w:r>
    </w:p>
    <w:p>
      <w:pPr>
        <w:pStyle w:val="223"/>
        <w:numPr>
          <w:ilvl w:val="0"/>
          <w:numId w:val="5"/>
        </w:numPr>
        <w:tabs>
          <w:tab w:val="left" w:pos="993"/>
        </w:tabs>
        <w:ind w:left="0" w:firstLine="567"/>
        <w:contextualSpacing w:val="0"/>
        <w:rPr>
          <w:bCs/>
          <w:lang w:eastAsia="uk-UA"/>
        </w:rPr>
      </w:pPr>
      <w:r>
        <w:rPr>
          <w:bCs/>
          <w:lang w:eastAsia="uk-UA"/>
        </w:rPr>
        <w:t>Національний банк має право визнати структуру власності непрозорою в порядку, визначеному Положенням № 30, у разі неподання достатніх доказів того, що заявлена структура власності надавача фінансових послуг відповідає вимогам розділу ІІІ Положення № 30 або того, що будь-яка особа, яка входить до складу 10 найбільших остаточних ключових учасників у структурі власності надавача фінансових послуг, не є номінальним (довірчим) власником, або в разі встановлення Національним банком невідповідності принаймні двох осіб, які входять до складу 10 найбільших остаточних ключових учасників у структурі власності надавача фінансових послуг та сукупно володіють не менше ніж п’ятьма відсотками сукупної участі в надавачі фінансових послуг, або однієї особи, яка володіє не менше ніж 10 відсотками сукупної участі в надавачі фінансових послуг, таким вимогам щодо фінансового/майнового стану:</w:t>
      </w:r>
    </w:p>
    <w:p>
      <w:pPr>
        <w:pStyle w:val="223"/>
        <w:numPr>
          <w:ilvl w:val="255"/>
          <w:numId w:val="0"/>
        </w:numPr>
        <w:shd w:val="clear" w:color="auto" w:fill="FFFFFF"/>
        <w:tabs>
          <w:tab w:val="left" w:pos="993"/>
        </w:tabs>
        <w:ind w:left="7" w:firstLine="560" w:firstLineChars="200"/>
        <w:contextualSpacing w:val="0"/>
        <w:rPr>
          <w:bCs/>
          <w:lang w:eastAsia="uk-UA"/>
        </w:rPr>
      </w:pPr>
      <w:bookmarkStart w:id="5" w:name="n233"/>
      <w:bookmarkEnd w:id="5"/>
      <w:r>
        <w:rPr>
          <w:bCs/>
          <w:lang w:eastAsia="uk-UA"/>
        </w:rPr>
        <w:t>розмір власних коштів юридичної особи станом на останню звітну дату, що передує відповідній даті, або на будь-яку іншу дату в періоді між останньою звітною датою та відповідною датою включно/сума власних коштів фізичної особи станом на відповідну дату є рівним/рівною або більшим/більшою, ніж більша з таких величин:</w:t>
      </w:r>
    </w:p>
    <w:p>
      <w:pPr>
        <w:pStyle w:val="223"/>
        <w:shd w:val="clear" w:color="auto" w:fill="FFFFFF"/>
        <w:tabs>
          <w:tab w:val="left" w:pos="993"/>
        </w:tabs>
        <w:spacing w:after="120"/>
        <w:ind w:left="0" w:firstLine="560" w:firstLineChars="200"/>
        <w:rPr>
          <w:bCs/>
          <w:lang w:eastAsia="uk-UA"/>
        </w:rPr>
      </w:pPr>
      <w:bookmarkStart w:id="6" w:name="n237"/>
      <w:bookmarkEnd w:id="6"/>
      <w:bookmarkStart w:id="7" w:name="n235"/>
      <w:bookmarkEnd w:id="7"/>
      <w:bookmarkStart w:id="8" w:name="n236"/>
      <w:bookmarkEnd w:id="8"/>
      <w:bookmarkStart w:id="9" w:name="n234"/>
      <w:bookmarkEnd w:id="9"/>
      <w:r>
        <w:rPr>
          <w:bCs/>
          <w:lang w:eastAsia="uk-UA"/>
        </w:rPr>
        <w:t>величина частини власного капіталу небанківської фінансової установи (крім страховика), пропорційна частці, яку становить розмір участі особи в статутному (складеному) капіталі небанківської фінансової установи (крім страховика) (розмір власного капіталу визначається на кінець звітного періоду, що передує даті підтвердження розміру власних коштів);</w:t>
      </w:r>
    </w:p>
    <w:p>
      <w:pPr>
        <w:pStyle w:val="223"/>
        <w:shd w:val="clear" w:color="auto" w:fill="FFFFFF"/>
        <w:tabs>
          <w:tab w:val="left" w:pos="993"/>
        </w:tabs>
        <w:spacing w:after="120"/>
        <w:ind w:left="0" w:firstLine="560" w:firstLineChars="200"/>
        <w:rPr>
          <w:bCs/>
          <w:lang w:eastAsia="uk-UA"/>
        </w:rPr>
      </w:pPr>
      <w:r>
        <w:rPr>
          <w:bCs/>
          <w:lang w:eastAsia="uk-UA"/>
        </w:rPr>
        <w:t>величина частини статутного (складеного) капіталу небанківської фінансової установи (крім страховика), пропорційна частці, яку становить розмір участі особи в статутному (складеному) капіталі небанківської фінансової установи (крім страховика);</w:t>
      </w:r>
    </w:p>
    <w:p>
      <w:pPr>
        <w:pStyle w:val="223"/>
        <w:shd w:val="clear" w:color="auto" w:fill="FFFFFF"/>
        <w:tabs>
          <w:tab w:val="left" w:pos="993"/>
        </w:tabs>
        <w:ind w:left="0" w:firstLine="560" w:firstLineChars="200"/>
        <w:rPr>
          <w:bCs/>
          <w:lang w:eastAsia="uk-UA"/>
        </w:rPr>
      </w:pPr>
      <w:r>
        <w:rPr>
          <w:bCs/>
          <w:lang w:eastAsia="uk-UA"/>
        </w:rPr>
        <w:t>величина розрахункового нормативного запасу платоспроможності, пропорційна частці, яку становить розмір участі особи в статутному (складеному) капіталі страховика (розмір розрахункового нормативного запасу платоспроможності визначається на кінець звітного періоду, що передує даті підтвердження розміру власних коштів);</w:t>
      </w:r>
    </w:p>
    <w:p>
      <w:pPr>
        <w:pStyle w:val="223"/>
        <w:numPr>
          <w:ilvl w:val="255"/>
          <w:numId w:val="0"/>
        </w:numPr>
        <w:shd w:val="clear" w:color="auto" w:fill="FFFFFF"/>
        <w:tabs>
          <w:tab w:val="left" w:pos="993"/>
        </w:tabs>
        <w:spacing w:after="120"/>
        <w:ind w:firstLine="560" w:firstLineChars="200"/>
        <w:rPr>
          <w:bCs/>
          <w:lang w:eastAsia="uk-UA"/>
        </w:rPr>
      </w:pPr>
      <w:r>
        <w:rPr>
          <w:bCs/>
          <w:lang w:eastAsia="uk-UA"/>
        </w:rPr>
        <w:t>джерела власних коштів фізичної особи є підтвердженими відповідно до пунктів 334 (крім абзацу третього підпункту 4 пункту 334), 335 глави 39 розділу V Положення про ліцензування та реєстрацію;</w:t>
      </w:r>
    </w:p>
    <w:p>
      <w:pPr>
        <w:pStyle w:val="223"/>
        <w:numPr>
          <w:ilvl w:val="255"/>
          <w:numId w:val="0"/>
        </w:numPr>
        <w:shd w:val="clear" w:color="auto" w:fill="FFFFFF"/>
        <w:tabs>
          <w:tab w:val="left" w:pos="993"/>
        </w:tabs>
        <w:spacing w:after="120"/>
        <w:ind w:firstLine="560" w:firstLineChars="200"/>
        <w:rPr>
          <w:bCs/>
          <w:lang w:eastAsia="uk-UA"/>
        </w:rPr>
      </w:pPr>
      <w:bookmarkStart w:id="10" w:name="n238"/>
      <w:bookmarkEnd w:id="10"/>
      <w:r>
        <w:rPr>
          <w:bCs/>
          <w:lang w:eastAsia="uk-UA"/>
        </w:rPr>
        <w:t>джерела власних коштів юридичної особи є підтвердженими відповідно до підпункту 1 пункту 317, пунктів 318, 319 глави 38 розділу V Положення про ліцензування та реєстрацію;</w:t>
      </w:r>
    </w:p>
    <w:p>
      <w:pPr>
        <w:pStyle w:val="223"/>
        <w:numPr>
          <w:ilvl w:val="255"/>
          <w:numId w:val="0"/>
        </w:numPr>
        <w:shd w:val="clear" w:color="auto" w:fill="FFFFFF"/>
        <w:tabs>
          <w:tab w:val="left" w:pos="993"/>
        </w:tabs>
        <w:spacing w:after="120"/>
        <w:ind w:firstLine="560" w:firstLineChars="200"/>
        <w:rPr>
          <w:bCs/>
          <w:lang w:eastAsia="uk-UA"/>
        </w:rPr>
      </w:pPr>
      <w:r>
        <w:rPr>
          <w:bCs/>
          <w:lang w:eastAsia="uk-UA"/>
        </w:rPr>
        <w:t>юридична особа є фінансово стійкою відповідно до пунктів 321−326 глави 38 розділу V Положення про ліцензування та реєстрацію та в неї немає ознак незадовільного фінансового стану, визначених у пункті 327 глави 38 розділу V Положення про ліцензування та реєстрацію, станом на останню звітну дату, що передує відповідній даті, та на дату визначення розміру власних коштів юридичної особи (якщо ці дати є різними);</w:t>
      </w:r>
    </w:p>
    <w:p>
      <w:pPr>
        <w:pStyle w:val="223"/>
        <w:numPr>
          <w:ilvl w:val="255"/>
          <w:numId w:val="0"/>
        </w:numPr>
        <w:shd w:val="clear" w:color="auto" w:fill="FFFFFF"/>
        <w:tabs>
          <w:tab w:val="left" w:pos="993"/>
        </w:tabs>
        <w:spacing w:after="120"/>
        <w:ind w:firstLine="560" w:firstLineChars="200"/>
        <w:rPr>
          <w:bCs/>
          <w:lang w:eastAsia="uk-UA"/>
        </w:rPr>
      </w:pPr>
      <w:r>
        <w:rPr>
          <w:bCs/>
          <w:lang w:eastAsia="uk-UA"/>
        </w:rPr>
        <w:t>фізична особа є платоспроможною відповідно до пункту 336 глави 39 розділу V Положення про ліцензування та реєстрацію;</w:t>
      </w:r>
    </w:p>
    <w:p>
      <w:pPr>
        <w:pStyle w:val="223"/>
        <w:numPr>
          <w:ilvl w:val="255"/>
          <w:numId w:val="0"/>
        </w:numPr>
        <w:shd w:val="clear" w:color="auto" w:fill="FFFFFF"/>
        <w:tabs>
          <w:tab w:val="left" w:pos="993"/>
        </w:tabs>
        <w:spacing w:after="120"/>
        <w:ind w:left="560" w:leftChars="200"/>
        <w:rPr>
          <w:bCs/>
          <w:sz w:val="24"/>
          <w:szCs w:val="24"/>
          <w:lang w:eastAsia="uk-UA"/>
        </w:rPr>
      </w:pPr>
    </w:p>
    <w:p>
      <w:pPr>
        <w:pStyle w:val="223"/>
        <w:numPr>
          <w:ilvl w:val="0"/>
          <w:numId w:val="5"/>
        </w:numPr>
        <w:tabs>
          <w:tab w:val="left" w:pos="993"/>
        </w:tabs>
        <w:ind w:left="0" w:firstLine="567"/>
        <w:contextualSpacing w:val="0"/>
        <w:rPr>
          <w:bCs/>
          <w:lang w:eastAsia="uk-UA"/>
        </w:rPr>
      </w:pPr>
      <w:r>
        <w:rPr>
          <w:bCs/>
          <w:lang w:eastAsia="uk-UA"/>
        </w:rPr>
        <w:t>Національний банк розглядає документи для оцінки фінансового/майнового стану остаточних ключових учасників у структурі власності надавача фінансових послуг у порядку, визначеному Положенням про ліцензування та реєстрацію;</w:t>
      </w:r>
    </w:p>
    <w:p>
      <w:pPr>
        <w:pStyle w:val="223"/>
        <w:tabs>
          <w:tab w:val="left" w:pos="993"/>
        </w:tabs>
        <w:ind w:left="567"/>
        <w:contextualSpacing w:val="0"/>
        <w:rPr>
          <w:bCs/>
          <w:sz w:val="28"/>
          <w:szCs w:val="28"/>
          <w:lang w:eastAsia="uk-UA"/>
        </w:rPr>
      </w:pPr>
      <w:bookmarkStart w:id="12" w:name="_GoBack"/>
      <w:bookmarkEnd w:id="12"/>
    </w:p>
    <w:p>
      <w:pPr>
        <w:pStyle w:val="223"/>
        <w:numPr>
          <w:ilvl w:val="0"/>
          <w:numId w:val="5"/>
        </w:numPr>
        <w:tabs>
          <w:tab w:val="left" w:pos="993"/>
        </w:tabs>
        <w:ind w:left="0" w:firstLine="567"/>
        <w:contextualSpacing w:val="0"/>
        <w:rPr>
          <w:bCs/>
          <w:lang w:eastAsia="uk-UA"/>
        </w:rPr>
      </w:pPr>
      <w:bookmarkStart w:id="11" w:name="n239"/>
      <w:bookmarkEnd w:id="11"/>
      <w:r>
        <w:rPr>
          <w:bCs/>
          <w:lang w:eastAsia="uk-UA"/>
        </w:rPr>
        <w:t>відповідною датою для оцінки фінансового/майнового стану остаточного ключового учасника є дата, визначена Національним банком;</w:t>
      </w:r>
    </w:p>
    <w:p>
      <w:pPr>
        <w:pStyle w:val="223"/>
        <w:shd w:val="clear" w:color="auto" w:fill="FFFFFF"/>
        <w:tabs>
          <w:tab w:val="left" w:pos="993"/>
        </w:tabs>
        <w:ind w:left="0" w:firstLine="560" w:firstLineChars="200"/>
        <w:rPr>
          <w:bCs/>
          <w:color w:val="333333"/>
          <w:sz w:val="28"/>
          <w:szCs w:val="28"/>
          <w:lang w:eastAsia="uk-UA"/>
        </w:rPr>
      </w:pPr>
    </w:p>
    <w:p>
      <w:pPr>
        <w:pStyle w:val="223"/>
        <w:numPr>
          <w:ilvl w:val="0"/>
          <w:numId w:val="5"/>
        </w:numPr>
        <w:tabs>
          <w:tab w:val="left" w:pos="993"/>
        </w:tabs>
        <w:ind w:left="0" w:firstLine="567"/>
        <w:contextualSpacing w:val="0"/>
        <w:rPr>
          <w:bCs/>
          <w:lang w:eastAsia="uk-UA"/>
        </w:rPr>
      </w:pPr>
      <w:r>
        <w:rPr>
          <w:bCs/>
          <w:lang w:eastAsia="uk-UA"/>
        </w:rPr>
        <w:t>Національний банк з метою підтвердження або спростування підстав уважати, що структура власності надавача фінансових послуг є непрозорою, враховує інформацію, отриману з офіційних джерел, від надавача фінансових послуг, будь-яких осіб у структурі власності надавача фінансових послуг, державних органів України та інших держав та/або інших осіб, яка свідчить про такі економічні критерії:</w:t>
      </w:r>
    </w:p>
    <w:p>
      <w:pPr>
        <w:pStyle w:val="223"/>
        <w:ind w:left="0" w:firstLine="567"/>
        <w:contextualSpacing w:val="0"/>
        <w:rPr>
          <w:color w:val="000000" w:themeColor="text1"/>
          <w14:textFill>
            <w14:solidFill>
              <w14:schemeClr w14:val="tx1"/>
            </w14:solidFill>
          </w14:textFill>
        </w:rPr>
      </w:pPr>
      <w:r>
        <w:rPr>
          <w:color w:val="000000" w:themeColor="text1"/>
          <w14:textFill>
            <w14:solidFill>
              <w14:schemeClr w14:val="tx1"/>
            </w14:solidFill>
          </w14:textFill>
        </w:rPr>
        <w:t>фінансовий/майновий стан власника істотної участі в надавачі фінансових послуг або будь-якої особи, яка входить до складу 10 найбільших остаточних ключових учасників у структурі власності надавача фінансових послуг, є не співмірним/недостатнім для володіння корпоративними правами надавача фінансових послуг та/або іншої юридичної особи в структурі власності надавача фінансових послуг;</w:t>
      </w:r>
    </w:p>
    <w:p>
      <w:pPr>
        <w:pStyle w:val="223"/>
        <w:ind w:left="0" w:firstLine="567"/>
        <w:contextualSpacing w:val="0"/>
        <w:rPr>
          <w:color w:val="000000" w:themeColor="text1"/>
          <w14:textFill>
            <w14:solidFill>
              <w14:schemeClr w14:val="tx1"/>
            </w14:solidFill>
          </w14:textFill>
        </w:rPr>
      </w:pPr>
      <w:r>
        <w:rPr>
          <w:color w:val="000000" w:themeColor="text1"/>
          <w14:textFill>
            <w14:solidFill>
              <w14:schemeClr w14:val="tx1"/>
            </w14:solidFill>
          </w14:textFill>
        </w:rPr>
        <w:t>неможливість підтвердження власником істотної участі або будь-якою особою, яка входить до складу 10 найбільших остаточних ключових учасників у структурі власності надавача фінансових послуг, відповідності власного фінансового/майнового стану вимогам, визначеним нормативно-правовим актом Національного банку з питань ліцензування надавачів фінансових послуг;</w:t>
      </w:r>
    </w:p>
    <w:p>
      <w:pPr>
        <w:pStyle w:val="223"/>
        <w:ind w:left="0" w:firstLine="567"/>
        <w:contextualSpacing w:val="0"/>
        <w:rPr>
          <w:color w:val="000000" w:themeColor="text1"/>
          <w14:textFill>
            <w14:solidFill>
              <w14:schemeClr w14:val="tx1"/>
            </w14:solidFill>
          </w14:textFill>
        </w:rPr>
      </w:pPr>
      <w:r>
        <w:rPr>
          <w:color w:val="000000" w:themeColor="text1"/>
          <w14:textFill>
            <w14:solidFill>
              <w14:schemeClr w14:val="tx1"/>
            </w14:solidFill>
          </w14:textFill>
        </w:rPr>
        <w:t>розмір грошових коштів власника істотної участі в надавачі фінансових послуг, розміщених на рахунках у банках, менший 500 000 гривень;</w:t>
      </w:r>
    </w:p>
    <w:p>
      <w:pPr>
        <w:pStyle w:val="223"/>
        <w:ind w:left="0" w:firstLine="567"/>
        <w:contextualSpacing w:val="0"/>
        <w:rPr>
          <w:color w:val="000000" w:themeColor="text1"/>
          <w14:textFill>
            <w14:solidFill>
              <w14:schemeClr w14:val="tx1"/>
            </w14:solidFill>
          </w14:textFill>
        </w:rPr>
      </w:pPr>
      <w:r>
        <w:rPr>
          <w:color w:val="000000" w:themeColor="text1"/>
          <w14:textFill>
            <w14:solidFill>
              <w14:schemeClr w14:val="tx1"/>
            </w14:solidFill>
          </w14:textFill>
        </w:rPr>
        <w:t>постійний мінімальний або нульовий залишок грошових коштів за наявності значних оборотів за рахунками власника істотної участі в надавачі фінансових послуг або будь-якої особи, яка входить до складу 10 найбільших остаточних ключових учасників у структурі власності надавача фінансових послуг (за даними виписок);</w:t>
      </w:r>
    </w:p>
    <w:p>
      <w:pPr>
        <w:pStyle w:val="223"/>
        <w:ind w:left="0" w:firstLine="567"/>
        <w:contextualSpacing w:val="0"/>
        <w:rPr>
          <w:color w:val="000000" w:themeColor="text1"/>
          <w14:textFill>
            <w14:solidFill>
              <w14:schemeClr w14:val="tx1"/>
            </w14:solidFill>
          </w14:textFill>
        </w:rPr>
      </w:pPr>
      <w:r>
        <w:rPr>
          <w:color w:val="000000" w:themeColor="text1"/>
          <w14:textFill>
            <w14:solidFill>
              <w14:schemeClr w14:val="tx1"/>
            </w14:solidFill>
          </w14:textFill>
        </w:rPr>
        <w:t>у власника істотної участі в надавачі фінансових послуг або будь-якої особи, яка входить до складу 10 найбільших остаточних ключових учасників у структурі власності надавача фінансових послуг, немає доходів або вони формуються переважно за рахунок непрофільних (неосновних) видів діяльності;</w:t>
      </w:r>
    </w:p>
    <w:p>
      <w:pPr>
        <w:pStyle w:val="223"/>
        <w:ind w:left="0" w:firstLine="567"/>
        <w:contextualSpacing w:val="0"/>
        <w:rPr>
          <w:color w:val="000000" w:themeColor="text1"/>
          <w14:textFill>
            <w14:solidFill>
              <w14:schemeClr w14:val="tx1"/>
            </w14:solidFill>
          </w14:textFill>
        </w:rPr>
      </w:pPr>
      <w:r>
        <w:rPr>
          <w:color w:val="000000" w:themeColor="text1"/>
          <w14:textFill>
            <w14:solidFill>
              <w14:schemeClr w14:val="tx1"/>
            </w14:solidFill>
          </w14:textFill>
        </w:rPr>
        <w:t>операційні грошові потоки власника істотної участі в надавачі фінансових послуг або будь-якої особи, яка входить до складу 10 найбільших остаточних ключових учасників у структурі власності надавача фінансових послуг, від’ємні протягом останніх кількох років та/або бізнес фінансується переважно за рахунок фінансової допомоги;</w:t>
      </w:r>
    </w:p>
    <w:p>
      <w:pPr>
        <w:pStyle w:val="223"/>
        <w:ind w:left="0" w:firstLine="567"/>
        <w:contextualSpacing w:val="0"/>
        <w:rPr>
          <w:color w:val="000000" w:themeColor="text1"/>
          <w14:textFill>
            <w14:solidFill>
              <w14:schemeClr w14:val="tx1"/>
            </w14:solidFill>
          </w14:textFill>
        </w:rPr>
      </w:pPr>
      <w:r>
        <w:rPr>
          <w:color w:val="000000" w:themeColor="text1"/>
          <w14:textFill>
            <w14:solidFill>
              <w14:schemeClr w14:val="tx1"/>
            </w14:solidFill>
          </w14:textFill>
        </w:rPr>
        <w:t>наявність у надавача фінансових послуг, власника істотної участі в надавачі фінансових послуг або будь-якої особи, яка входить до складу 10 найбільших остаточних ключових учасників у структурі власності надавача фінансових послуг, значних зовнішніх та/або внутрішніх довгострокових запозичень від фізичних та/або юридичних осіб (крім банків), які не входять до структури власності надавача фінансових послуг;</w:t>
      </w:r>
    </w:p>
    <w:p>
      <w:pPr>
        <w:pStyle w:val="223"/>
        <w:ind w:left="0" w:firstLine="567"/>
        <w:contextualSpacing w:val="0"/>
        <w:rPr>
          <w:color w:val="000000" w:themeColor="text1"/>
          <w14:textFill>
            <w14:solidFill>
              <w14:schemeClr w14:val="tx1"/>
            </w14:solidFill>
          </w14:textFill>
        </w:rPr>
      </w:pPr>
      <w:r>
        <w:rPr>
          <w:color w:val="000000" w:themeColor="text1"/>
          <w14:textFill>
            <w14:solidFill>
              <w14:schemeClr w14:val="tx1"/>
            </w14:solidFill>
          </w14:textFill>
        </w:rPr>
        <w:t>майновими та/або фінансовими поручителями надавача фінансових послуг за угодами, що передбачають запозичення коштів, є юридичні та/або фізичні особи, які не відображені в структурі власності надавача фінансових послуг.”;</w:t>
      </w:r>
    </w:p>
    <w:p>
      <w:pPr>
        <w:pStyle w:val="223"/>
        <w:ind w:left="0" w:firstLine="567"/>
        <w:contextualSpacing w:val="0"/>
        <w:rPr>
          <w:color w:val="000000" w:themeColor="text1"/>
          <w14:textFill>
            <w14:solidFill>
              <w14:schemeClr w14:val="tx1"/>
            </w14:solidFill>
          </w14:textFill>
        </w:rPr>
      </w:pPr>
    </w:p>
    <w:p>
      <w:pPr>
        <w:ind w:firstLine="567"/>
        <w:rPr>
          <w:color w:val="000000" w:themeColor="text1"/>
          <w14:textFill>
            <w14:solidFill>
              <w14:schemeClr w14:val="tx1"/>
            </w14:solidFill>
          </w14:textFill>
        </w:rPr>
      </w:pPr>
      <w:r>
        <w:rPr>
          <w:color w:val="000000" w:themeColor="text1"/>
          <w14:textFill>
            <w14:solidFill>
              <w14:schemeClr w14:val="tx1"/>
            </w14:solidFill>
          </w14:textFill>
        </w:rPr>
        <w:t xml:space="preserve">2) </w:t>
      </w:r>
      <w:r>
        <w:rPr>
          <w:shd w:val="clear" w:color="auto" w:fill="FFFFFF"/>
        </w:rPr>
        <w:t xml:space="preserve">пункт 20 після слова </w:t>
      </w:r>
      <w:r>
        <w:rPr>
          <w:shd w:val="clear" w:color="auto" w:fill="FFFFFF"/>
          <w:lang w:val="ru-RU"/>
        </w:rPr>
        <w:t>“</w:t>
      </w:r>
      <w:r>
        <w:rPr>
          <w:shd w:val="clear" w:color="auto" w:fill="FFFFFF"/>
        </w:rPr>
        <w:t>реєстрацію,</w:t>
      </w:r>
      <w:r>
        <w:rPr>
          <w:shd w:val="clear" w:color="auto" w:fill="FFFFFF"/>
          <w:lang w:val="ru-RU"/>
        </w:rPr>
        <w:t>” доповнити словом та цифрами “</w:t>
      </w:r>
      <w:r>
        <w:rPr>
          <w:color w:val="000000" w:themeColor="text1"/>
          <w14:textFill>
            <w14:solidFill>
              <w14:schemeClr w14:val="tx1"/>
            </w14:solidFill>
          </w14:textFill>
        </w:rPr>
        <w:t>Положенням № 30,</w:t>
      </w:r>
      <w:r>
        <w:rPr>
          <w:shd w:val="clear" w:color="auto" w:fill="FFFFFF"/>
          <w:lang w:val="ru-RU"/>
        </w:rPr>
        <w:t>”</w:t>
      </w:r>
      <w:r>
        <w:rPr>
          <w:shd w:val="clear" w:color="auto" w:fill="FFFFFF"/>
        </w:rPr>
        <w:t xml:space="preserve">;  </w:t>
      </w:r>
    </w:p>
    <w:p>
      <w:pPr>
        <w:ind w:firstLine="567"/>
        <w:rPr>
          <w:color w:val="000000" w:themeColor="text1"/>
          <w14:textFill>
            <w14:solidFill>
              <w14:schemeClr w14:val="tx1"/>
            </w14:solidFill>
          </w14:textFill>
        </w:rPr>
      </w:pPr>
    </w:p>
    <w:p>
      <w:pPr>
        <w:ind w:firstLine="560" w:firstLineChars="200"/>
        <w:rPr>
          <w:bCs/>
        </w:rPr>
      </w:pPr>
      <w:r>
        <w:rPr>
          <w:bCs/>
        </w:rPr>
        <w:t>3) пункти 2, 6 додатка виключити.</w:t>
      </w:r>
    </w:p>
    <w:p>
      <w:pPr>
        <w:rPr>
          <w:bCs/>
          <w:color w:val="000000" w:themeColor="text1"/>
          <w14:textFill>
            <w14:solidFill>
              <w14:schemeClr w14:val="tx1"/>
            </w14:solidFill>
          </w14:textFill>
        </w:rPr>
      </w:pPr>
      <w:r>
        <w:rPr>
          <w:bCs/>
          <w:color w:val="000000" w:themeColor="text1"/>
          <w14:textFill>
            <w14:solidFill>
              <w14:schemeClr w14:val="tx1"/>
            </w14:solidFill>
          </w14:textFill>
        </w:rPr>
        <w:br w:type="page"/>
      </w:r>
    </w:p>
    <w:p>
      <w:pPr>
        <w:ind w:left="567"/>
        <w:rPr>
          <w:bCs/>
          <w:color w:val="000000" w:themeColor="text1"/>
          <w14:textFill>
            <w14:solidFill>
              <w14:schemeClr w14:val="tx1"/>
            </w14:solidFill>
          </w14:textFill>
        </w:rPr>
      </w:pPr>
    </w:p>
    <w:p>
      <w:pPr>
        <w:ind w:firstLine="560" w:firstLineChars="200"/>
        <w:rPr>
          <w:bCs/>
          <w:color w:val="000000" w:themeColor="text1"/>
          <w14:textFill>
            <w14:solidFill>
              <w14:schemeClr w14:val="tx1"/>
            </w14:solidFill>
          </w14:textFill>
        </w:rPr>
      </w:pPr>
      <w:r>
        <w:rPr>
          <w:bCs/>
          <w:color w:val="000000" w:themeColor="text1"/>
          <w14:textFill>
            <w14:solidFill>
              <w14:schemeClr w14:val="tx1"/>
            </w14:solidFill>
          </w14:textFill>
        </w:rPr>
        <w:t>12. Постанова набирає чинності з дня, наступного за днем її офіційного опублікування.</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tbl>
      <w:tblPr>
        <w:tblStyle w:val="209"/>
        <w:tblW w:w="9639"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5387"/>
        <w:gridCol w:w="4252"/>
      </w:tblGrid>
      <w:tr>
        <w:tc>
          <w:tcPr>
            <w:tcW w:w="5387" w:type="dxa"/>
            <w:vAlign w:val="bottom"/>
          </w:tcPr>
          <w:p>
            <w:pPr>
              <w:jc w:val="left"/>
              <w:rPr>
                <w:color w:val="000000" w:themeColor="text1"/>
                <w14:textFill>
                  <w14:solidFill>
                    <w14:schemeClr w14:val="tx1"/>
                  </w14:solidFill>
                </w14:textFill>
              </w:rPr>
            </w:pPr>
            <w:r>
              <w:rPr>
                <w:color w:val="000000" w:themeColor="text1"/>
                <w14:textFill>
                  <w14:solidFill>
                    <w14:schemeClr w14:val="tx1"/>
                  </w14:solidFill>
                </w14:textFill>
              </w:rPr>
              <w:t>Голова</w:t>
            </w:r>
          </w:p>
        </w:tc>
        <w:tc>
          <w:tcPr>
            <w:tcW w:w="4252" w:type="dxa"/>
            <w:vAlign w:val="bottom"/>
          </w:tcPr>
          <w:p>
            <w:pPr>
              <w:tabs>
                <w:tab w:val="left" w:pos="7020"/>
                <w:tab w:val="left" w:pos="7200"/>
              </w:tabs>
              <w:ind w:left="32"/>
              <w:jc w:val="right"/>
              <w:rPr>
                <w:color w:val="000000" w:themeColor="text1"/>
                <w14:textFill>
                  <w14:solidFill>
                    <w14:schemeClr w14:val="tx1"/>
                  </w14:solidFill>
                </w14:textFill>
              </w:rPr>
            </w:pPr>
            <w:r>
              <w:rPr>
                <w:color w:val="000000" w:themeColor="text1"/>
                <w14:textFill>
                  <w14:solidFill>
                    <w14:schemeClr w14:val="tx1"/>
                  </w14:solidFill>
                </w14:textFill>
              </w:rPr>
              <w:t>Кирило ШЕВЧЕНКО</w:t>
            </w:r>
          </w:p>
        </w:tc>
      </w:tr>
    </w:tbl>
    <w:p>
      <w:pPr>
        <w:jc w:val="left"/>
      </w:pPr>
    </w:p>
    <w:p>
      <w:pPr>
        <w:jc w:val="left"/>
      </w:pPr>
    </w:p>
    <w:p>
      <w:r>
        <w:t>Інд. 33</w:t>
      </w:r>
    </w:p>
    <w:sectPr>
      <w:footerReference r:id="rId4" w:type="first"/>
      <w:headerReference r:id="rId3" w:type="default"/>
      <w:pgSz w:w="11906" w:h="16838"/>
      <w:pgMar w:top="567" w:right="567" w:bottom="1701" w:left="1701" w:header="709" w:footer="709" w:gutter="0"/>
      <w:pgNumType w:start="1"/>
      <w:cols w:space="1701"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703060505090304"/>
    <w:charset w:val="CC"/>
    <w:family w:val="roman"/>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SimSun">
    <w:panose1 w:val="02010600030101010101"/>
    <w:charset w:val="86"/>
    <w:family w:val="auto"/>
    <w:pitch w:val="default"/>
    <w:sig w:usb0="00000003" w:usb1="288F0000" w:usb2="00000006" w:usb3="00000000" w:csb0="00040001" w:csb1="00000000"/>
  </w:font>
  <w:font w:name="Arial">
    <w:panose1 w:val="020B0604020202090204"/>
    <w:charset w:val="CC"/>
    <w:family w:val="swiss"/>
    <w:pitch w:val="default"/>
    <w:sig w:usb0="E0000AFF" w:usb1="00007843" w:usb2="00000001" w:usb3="00000000" w:csb0="400001BF" w:csb1="DFF70000"/>
  </w:font>
  <w:font w:name="Segoe UI">
    <w:altName w:val="Helvetica Neue"/>
    <w:panose1 w:val="020B0502040204020203"/>
    <w:charset w:val="CC"/>
    <w:family w:val="swiss"/>
    <w:pitch w:val="default"/>
    <w:sig w:usb0="00000000" w:usb1="00000000" w:usb2="00000009" w:usb3="00000000" w:csb0="000001FF" w:csb1="00000000"/>
  </w:font>
  <w:font w:name="Calibri">
    <w:panose1 w:val="020F0702030404030204"/>
    <w:charset w:val="CC"/>
    <w:family w:val="swiss"/>
    <w:pitch w:val="default"/>
    <w:sig w:usb0="E10002FF" w:usb1="4000ACFF" w:usb2="00000009" w:usb3="00000000" w:csb0="2000019F" w:csb1="00000000"/>
  </w:font>
  <w:font w:name="Calibri Light">
    <w:panose1 w:val="020F0702030404030204"/>
    <w:charset w:val="CC"/>
    <w:family w:val="swiss"/>
    <w:pitch w:val="default"/>
    <w:sig w:usb0="E10002FF" w:usb1="4000ACFF" w:usb2="00000009" w:usb3="00000000" w:csb0="2000019F" w:csb1="00000000"/>
  </w:font>
  <w:font w:name="宋体-简">
    <w:panose1 w:val="02010800040101010101"/>
    <w:charset w:val="86"/>
    <w:family w:val="auto"/>
    <w:pitch w:val="default"/>
    <w:sig w:usb0="00000001" w:usb1="080F0000" w:usb2="00000000" w:usb3="00000000" w:csb0="00040000" w:csb1="00000000"/>
  </w:font>
  <w:font w:name="Helvetica Neue">
    <w:panose1 w:val="02000503000000020004"/>
    <w:charset w:val="00"/>
    <w:family w:val="auto"/>
    <w:pitch w:val="default"/>
    <w:sig w:usb0="E50002FF" w:usb1="500079DB" w:usb2="0000001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0"/>
        <w:left w:val="none" w:color="000000" w:sz="0" w:space="0"/>
        <w:bottom w:val="none" w:color="000000" w:sz="0" w:space="0"/>
        <w:right w:val="none" w:color="000000" w:sz="0" w:space="0"/>
        <w:between w:val="none" w:color="000000" w:sz="0" w:space="0"/>
      </w:pBdr>
      <w:tabs>
        <w:tab w:val="center" w:pos="4819"/>
        <w:tab w:val="right" w:pos="9639"/>
      </w:tabs>
      <w:jc w:val="right"/>
      <w:rPr>
        <w:color w:val="FFFFFF"/>
      </w:rPr>
    </w:pPr>
    <w:r>
      <w:rPr>
        <w:color w:val="FFFFFF"/>
      </w:rPr>
      <w:t>Шаблон</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0"/>
        <w:left w:val="none" w:color="000000" w:sz="0" w:space="0"/>
        <w:bottom w:val="none" w:color="000000" w:sz="0" w:space="0"/>
        <w:right w:val="none" w:color="000000" w:sz="0" w:space="0"/>
        <w:between w:val="none" w:color="000000" w:sz="0" w:space="0"/>
      </w:pBdr>
      <w:tabs>
        <w:tab w:val="center" w:pos="4819"/>
        <w:tab w:val="right" w:pos="9639"/>
      </w:tabs>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t>6</w:t>
    </w:r>
    <w:r>
      <w:rPr>
        <w:color w:val="000000"/>
      </w:rPr>
      <w:fldChar w:fldCharType="end"/>
    </w:r>
  </w:p>
  <w:p>
    <w:pPr>
      <w:pBdr>
        <w:top w:val="none" w:color="000000" w:sz="0" w:space="0"/>
        <w:left w:val="none" w:color="000000" w:sz="0" w:space="0"/>
        <w:bottom w:val="none" w:color="000000" w:sz="0" w:space="0"/>
        <w:right w:val="none" w:color="000000" w:sz="0" w:space="0"/>
        <w:between w:val="none" w:color="000000" w:sz="0" w:space="0"/>
      </w:pBdr>
      <w:tabs>
        <w:tab w:val="center" w:pos="4819"/>
        <w:tab w:val="right" w:pos="9639"/>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3342"/>
    <w:multiLevelType w:val="multilevel"/>
    <w:tmpl w:val="0F57334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2F12FBF"/>
    <w:multiLevelType w:val="singleLevel"/>
    <w:tmpl w:val="62F12FBF"/>
    <w:lvl w:ilvl="0" w:tentative="0">
      <w:start w:val="1"/>
      <w:numFmt w:val="decimal"/>
      <w:suff w:val="space"/>
      <w:lvlText w:val="%1."/>
      <w:lvlJc w:val="left"/>
    </w:lvl>
  </w:abstractNum>
  <w:abstractNum w:abstractNumId="2">
    <w:nsid w:val="62F20B6B"/>
    <w:multiLevelType w:val="singleLevel"/>
    <w:tmpl w:val="62F20B6B"/>
    <w:lvl w:ilvl="0" w:tentative="0">
      <w:start w:val="1"/>
      <w:numFmt w:val="decimal"/>
      <w:suff w:val="space"/>
      <w:lvlText w:val="%1)"/>
      <w:lvlJc w:val="left"/>
    </w:lvl>
  </w:abstractNum>
  <w:abstractNum w:abstractNumId="3">
    <w:nsid w:val="62F3E766"/>
    <w:multiLevelType w:val="singleLevel"/>
    <w:tmpl w:val="62F3E766"/>
    <w:lvl w:ilvl="0" w:tentative="0">
      <w:start w:val="1"/>
      <w:numFmt w:val="decimal"/>
      <w:suff w:val="space"/>
      <w:lvlText w:val="%1)"/>
      <w:lvlJc w:val="left"/>
    </w:lvl>
  </w:abstractNum>
  <w:abstractNum w:abstractNumId="4">
    <w:nsid w:val="62F3E856"/>
    <w:multiLevelType w:val="singleLevel"/>
    <w:tmpl w:val="62F3E856"/>
    <w:lvl w:ilvl="0" w:tentative="0">
      <w:start w:val="2"/>
      <w:numFmt w:val="decimal"/>
      <w:suff w:val="space"/>
      <w:lvlText w:val="%1)"/>
      <w:lvlJc w:val="left"/>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7D"/>
    <w:rsid w:val="00000130"/>
    <w:rsid w:val="00001B49"/>
    <w:rsid w:val="00004E63"/>
    <w:rsid w:val="00005A7F"/>
    <w:rsid w:val="00007177"/>
    <w:rsid w:val="00007A5C"/>
    <w:rsid w:val="000113A7"/>
    <w:rsid w:val="00011A1F"/>
    <w:rsid w:val="00040948"/>
    <w:rsid w:val="00041448"/>
    <w:rsid w:val="000425F4"/>
    <w:rsid w:val="00042F4C"/>
    <w:rsid w:val="00044B5E"/>
    <w:rsid w:val="00046D73"/>
    <w:rsid w:val="00053F8E"/>
    <w:rsid w:val="000564CB"/>
    <w:rsid w:val="000573FA"/>
    <w:rsid w:val="00057F46"/>
    <w:rsid w:val="0006138A"/>
    <w:rsid w:val="00062326"/>
    <w:rsid w:val="00062470"/>
    <w:rsid w:val="000637C1"/>
    <w:rsid w:val="00063DE0"/>
    <w:rsid w:val="00064C9E"/>
    <w:rsid w:val="00072DAC"/>
    <w:rsid w:val="000750EB"/>
    <w:rsid w:val="00080C17"/>
    <w:rsid w:val="00081C22"/>
    <w:rsid w:val="000840CC"/>
    <w:rsid w:val="000933F5"/>
    <w:rsid w:val="000A07E6"/>
    <w:rsid w:val="000A4C6C"/>
    <w:rsid w:val="000A5BE7"/>
    <w:rsid w:val="000B081B"/>
    <w:rsid w:val="000B1C7C"/>
    <w:rsid w:val="000B33F0"/>
    <w:rsid w:val="000B42F5"/>
    <w:rsid w:val="000B664D"/>
    <w:rsid w:val="000B67C2"/>
    <w:rsid w:val="000D0DFB"/>
    <w:rsid w:val="000D5D30"/>
    <w:rsid w:val="000D5F2D"/>
    <w:rsid w:val="000E41A7"/>
    <w:rsid w:val="000E6A60"/>
    <w:rsid w:val="000F477B"/>
    <w:rsid w:val="000F5F2C"/>
    <w:rsid w:val="000F6DC4"/>
    <w:rsid w:val="00101ED7"/>
    <w:rsid w:val="00105066"/>
    <w:rsid w:val="00116EFE"/>
    <w:rsid w:val="0012014F"/>
    <w:rsid w:val="00122F46"/>
    <w:rsid w:val="0012333C"/>
    <w:rsid w:val="0012496C"/>
    <w:rsid w:val="0012508E"/>
    <w:rsid w:val="001265AF"/>
    <w:rsid w:val="00131A97"/>
    <w:rsid w:val="00131C88"/>
    <w:rsid w:val="00142237"/>
    <w:rsid w:val="001450DE"/>
    <w:rsid w:val="00145FA1"/>
    <w:rsid w:val="00146580"/>
    <w:rsid w:val="00151B9C"/>
    <w:rsid w:val="00157564"/>
    <w:rsid w:val="00157DA0"/>
    <w:rsid w:val="00160CAF"/>
    <w:rsid w:val="00162EF3"/>
    <w:rsid w:val="0016426A"/>
    <w:rsid w:val="00173DB8"/>
    <w:rsid w:val="001773FF"/>
    <w:rsid w:val="00181D59"/>
    <w:rsid w:val="00183DF8"/>
    <w:rsid w:val="00186696"/>
    <w:rsid w:val="001975BE"/>
    <w:rsid w:val="001A70C2"/>
    <w:rsid w:val="001B1600"/>
    <w:rsid w:val="001B1D91"/>
    <w:rsid w:val="001C2E7D"/>
    <w:rsid w:val="001C4F21"/>
    <w:rsid w:val="001C554C"/>
    <w:rsid w:val="001C7997"/>
    <w:rsid w:val="001C7DEF"/>
    <w:rsid w:val="001D0727"/>
    <w:rsid w:val="001D5D02"/>
    <w:rsid w:val="001D6EB3"/>
    <w:rsid w:val="001E1D0C"/>
    <w:rsid w:val="001E68A4"/>
    <w:rsid w:val="001F13B6"/>
    <w:rsid w:val="00201B21"/>
    <w:rsid w:val="0021269D"/>
    <w:rsid w:val="002128BB"/>
    <w:rsid w:val="00216E07"/>
    <w:rsid w:val="00222B3B"/>
    <w:rsid w:val="002238A6"/>
    <w:rsid w:val="00224B0F"/>
    <w:rsid w:val="00236552"/>
    <w:rsid w:val="00243F6C"/>
    <w:rsid w:val="00247A6C"/>
    <w:rsid w:val="002508AC"/>
    <w:rsid w:val="00252576"/>
    <w:rsid w:val="00252C43"/>
    <w:rsid w:val="00255821"/>
    <w:rsid w:val="00255BB6"/>
    <w:rsid w:val="00255BFF"/>
    <w:rsid w:val="00257183"/>
    <w:rsid w:val="00265F48"/>
    <w:rsid w:val="00271DEA"/>
    <w:rsid w:val="0028296C"/>
    <w:rsid w:val="0028298F"/>
    <w:rsid w:val="00282DFA"/>
    <w:rsid w:val="00282F11"/>
    <w:rsid w:val="00283918"/>
    <w:rsid w:val="00286048"/>
    <w:rsid w:val="002A17CE"/>
    <w:rsid w:val="002B1812"/>
    <w:rsid w:val="002B2CC4"/>
    <w:rsid w:val="002C374B"/>
    <w:rsid w:val="002C4243"/>
    <w:rsid w:val="002D50B3"/>
    <w:rsid w:val="002E26C2"/>
    <w:rsid w:val="002E2AE5"/>
    <w:rsid w:val="002F09EA"/>
    <w:rsid w:val="002F5D90"/>
    <w:rsid w:val="002F7537"/>
    <w:rsid w:val="00317FE3"/>
    <w:rsid w:val="00321F3C"/>
    <w:rsid w:val="00322F81"/>
    <w:rsid w:val="00324A4D"/>
    <w:rsid w:val="003314B1"/>
    <w:rsid w:val="003360D8"/>
    <w:rsid w:val="0034453E"/>
    <w:rsid w:val="00355581"/>
    <w:rsid w:val="0035719C"/>
    <w:rsid w:val="003573B2"/>
    <w:rsid w:val="003632A5"/>
    <w:rsid w:val="00367593"/>
    <w:rsid w:val="00367C16"/>
    <w:rsid w:val="003701D3"/>
    <w:rsid w:val="00371EE2"/>
    <w:rsid w:val="00373AC4"/>
    <w:rsid w:val="00373FC4"/>
    <w:rsid w:val="00381A0D"/>
    <w:rsid w:val="0038463B"/>
    <w:rsid w:val="00384ADB"/>
    <w:rsid w:val="003A327F"/>
    <w:rsid w:val="003A3CB8"/>
    <w:rsid w:val="003B52BF"/>
    <w:rsid w:val="003B52FC"/>
    <w:rsid w:val="003C373A"/>
    <w:rsid w:val="003C7F61"/>
    <w:rsid w:val="003F477A"/>
    <w:rsid w:val="003F51AE"/>
    <w:rsid w:val="003F56BA"/>
    <w:rsid w:val="00413F96"/>
    <w:rsid w:val="00422CB5"/>
    <w:rsid w:val="0042572B"/>
    <w:rsid w:val="00427812"/>
    <w:rsid w:val="00427FEF"/>
    <w:rsid w:val="004341F4"/>
    <w:rsid w:val="00435B19"/>
    <w:rsid w:val="00436D0D"/>
    <w:rsid w:val="004370F3"/>
    <w:rsid w:val="00437E59"/>
    <w:rsid w:val="004472F5"/>
    <w:rsid w:val="004473A8"/>
    <w:rsid w:val="00450034"/>
    <w:rsid w:val="00450BDA"/>
    <w:rsid w:val="00452540"/>
    <w:rsid w:val="0045450F"/>
    <w:rsid w:val="00466088"/>
    <w:rsid w:val="004823EE"/>
    <w:rsid w:val="00484CCF"/>
    <w:rsid w:val="0048799A"/>
    <w:rsid w:val="00491DA9"/>
    <w:rsid w:val="00494162"/>
    <w:rsid w:val="004A266A"/>
    <w:rsid w:val="004B2D2A"/>
    <w:rsid w:val="004B4555"/>
    <w:rsid w:val="004B5AA0"/>
    <w:rsid w:val="004B5B84"/>
    <w:rsid w:val="004C4B9C"/>
    <w:rsid w:val="004C78CB"/>
    <w:rsid w:val="004D0101"/>
    <w:rsid w:val="004D0213"/>
    <w:rsid w:val="004D441A"/>
    <w:rsid w:val="004D5E76"/>
    <w:rsid w:val="004E13E4"/>
    <w:rsid w:val="004E4339"/>
    <w:rsid w:val="004F0015"/>
    <w:rsid w:val="004F3117"/>
    <w:rsid w:val="00505689"/>
    <w:rsid w:val="00506545"/>
    <w:rsid w:val="0051229B"/>
    <w:rsid w:val="005145BB"/>
    <w:rsid w:val="0052239F"/>
    <w:rsid w:val="005226D5"/>
    <w:rsid w:val="00525708"/>
    <w:rsid w:val="005337C3"/>
    <w:rsid w:val="0053781F"/>
    <w:rsid w:val="00541EAF"/>
    <w:rsid w:val="0054214A"/>
    <w:rsid w:val="0056348A"/>
    <w:rsid w:val="005705A9"/>
    <w:rsid w:val="005849DF"/>
    <w:rsid w:val="00587B3D"/>
    <w:rsid w:val="005905C5"/>
    <w:rsid w:val="00593684"/>
    <w:rsid w:val="005961A8"/>
    <w:rsid w:val="00596F04"/>
    <w:rsid w:val="005A01D5"/>
    <w:rsid w:val="005A450C"/>
    <w:rsid w:val="005A59A1"/>
    <w:rsid w:val="005A6119"/>
    <w:rsid w:val="005B53AF"/>
    <w:rsid w:val="005B5D16"/>
    <w:rsid w:val="005B5E63"/>
    <w:rsid w:val="005C0BF7"/>
    <w:rsid w:val="005C359E"/>
    <w:rsid w:val="005E169C"/>
    <w:rsid w:val="005E22BB"/>
    <w:rsid w:val="005F0B6F"/>
    <w:rsid w:val="005F2A3E"/>
    <w:rsid w:val="005F5F8C"/>
    <w:rsid w:val="005F6A1C"/>
    <w:rsid w:val="00601321"/>
    <w:rsid w:val="00605D52"/>
    <w:rsid w:val="0061726E"/>
    <w:rsid w:val="00634113"/>
    <w:rsid w:val="00636C90"/>
    <w:rsid w:val="00647ED0"/>
    <w:rsid w:val="006524C6"/>
    <w:rsid w:val="00655C41"/>
    <w:rsid w:val="00656287"/>
    <w:rsid w:val="00656A86"/>
    <w:rsid w:val="00682B6C"/>
    <w:rsid w:val="00685706"/>
    <w:rsid w:val="0069273D"/>
    <w:rsid w:val="00694D69"/>
    <w:rsid w:val="00697A68"/>
    <w:rsid w:val="006C0717"/>
    <w:rsid w:val="006C4482"/>
    <w:rsid w:val="006C5CA2"/>
    <w:rsid w:val="006C7CAE"/>
    <w:rsid w:val="006D2B6B"/>
    <w:rsid w:val="006D4C1B"/>
    <w:rsid w:val="006D5817"/>
    <w:rsid w:val="006E17FE"/>
    <w:rsid w:val="006E1F28"/>
    <w:rsid w:val="006E6508"/>
    <w:rsid w:val="006F167D"/>
    <w:rsid w:val="006F45C6"/>
    <w:rsid w:val="006F6394"/>
    <w:rsid w:val="00700738"/>
    <w:rsid w:val="00705474"/>
    <w:rsid w:val="00706A4C"/>
    <w:rsid w:val="0071448E"/>
    <w:rsid w:val="00720A23"/>
    <w:rsid w:val="00732AB5"/>
    <w:rsid w:val="00733CED"/>
    <w:rsid w:val="00737DAE"/>
    <w:rsid w:val="0074580E"/>
    <w:rsid w:val="007469BA"/>
    <w:rsid w:val="00747451"/>
    <w:rsid w:val="00753B2C"/>
    <w:rsid w:val="007571EF"/>
    <w:rsid w:val="007572AA"/>
    <w:rsid w:val="00757FA6"/>
    <w:rsid w:val="00760C19"/>
    <w:rsid w:val="00763AC3"/>
    <w:rsid w:val="00764BA7"/>
    <w:rsid w:val="00770229"/>
    <w:rsid w:val="00773FE0"/>
    <w:rsid w:val="007745B4"/>
    <w:rsid w:val="00777FE1"/>
    <w:rsid w:val="00782A78"/>
    <w:rsid w:val="00783776"/>
    <w:rsid w:val="00785D43"/>
    <w:rsid w:val="007A0D93"/>
    <w:rsid w:val="007A12FB"/>
    <w:rsid w:val="007B2F1F"/>
    <w:rsid w:val="007C1971"/>
    <w:rsid w:val="007C58E5"/>
    <w:rsid w:val="007D42DA"/>
    <w:rsid w:val="007D7F45"/>
    <w:rsid w:val="007E23C9"/>
    <w:rsid w:val="007E3B88"/>
    <w:rsid w:val="007F033E"/>
    <w:rsid w:val="007F1189"/>
    <w:rsid w:val="007F54A0"/>
    <w:rsid w:val="007F696C"/>
    <w:rsid w:val="007F7DE9"/>
    <w:rsid w:val="00800F9A"/>
    <w:rsid w:val="00802438"/>
    <w:rsid w:val="008054B7"/>
    <w:rsid w:val="00807186"/>
    <w:rsid w:val="00807437"/>
    <w:rsid w:val="0080787A"/>
    <w:rsid w:val="00811D24"/>
    <w:rsid w:val="008153E4"/>
    <w:rsid w:val="00816CC8"/>
    <w:rsid w:val="00820702"/>
    <w:rsid w:val="00825231"/>
    <w:rsid w:val="00825778"/>
    <w:rsid w:val="00825E51"/>
    <w:rsid w:val="0082675B"/>
    <w:rsid w:val="00830295"/>
    <w:rsid w:val="008335DB"/>
    <w:rsid w:val="00835B8B"/>
    <w:rsid w:val="00857EC7"/>
    <w:rsid w:val="00863765"/>
    <w:rsid w:val="00864010"/>
    <w:rsid w:val="00867E4A"/>
    <w:rsid w:val="00870563"/>
    <w:rsid w:val="00880048"/>
    <w:rsid w:val="008806C6"/>
    <w:rsid w:val="00882FC9"/>
    <w:rsid w:val="00890323"/>
    <w:rsid w:val="008903C7"/>
    <w:rsid w:val="00890473"/>
    <w:rsid w:val="008970CE"/>
    <w:rsid w:val="008976B2"/>
    <w:rsid w:val="008A4A7A"/>
    <w:rsid w:val="008A78B2"/>
    <w:rsid w:val="008B355F"/>
    <w:rsid w:val="008B6D5B"/>
    <w:rsid w:val="008B780F"/>
    <w:rsid w:val="008B7857"/>
    <w:rsid w:val="008C788B"/>
    <w:rsid w:val="008D0DE0"/>
    <w:rsid w:val="008D0F05"/>
    <w:rsid w:val="008D3DBD"/>
    <w:rsid w:val="008E7A1A"/>
    <w:rsid w:val="008F0411"/>
    <w:rsid w:val="008F77CD"/>
    <w:rsid w:val="00900F68"/>
    <w:rsid w:val="009135B6"/>
    <w:rsid w:val="009138FA"/>
    <w:rsid w:val="00913B9B"/>
    <w:rsid w:val="00915335"/>
    <w:rsid w:val="0092388B"/>
    <w:rsid w:val="00934082"/>
    <w:rsid w:val="00935C93"/>
    <w:rsid w:val="009360C6"/>
    <w:rsid w:val="009455A4"/>
    <w:rsid w:val="009502E7"/>
    <w:rsid w:val="00955205"/>
    <w:rsid w:val="00955B89"/>
    <w:rsid w:val="00962E2C"/>
    <w:rsid w:val="00963E85"/>
    <w:rsid w:val="00982565"/>
    <w:rsid w:val="00984C56"/>
    <w:rsid w:val="0099393F"/>
    <w:rsid w:val="00996BE1"/>
    <w:rsid w:val="009A3260"/>
    <w:rsid w:val="009B018E"/>
    <w:rsid w:val="009B0A9C"/>
    <w:rsid w:val="009B2CF0"/>
    <w:rsid w:val="009D34AA"/>
    <w:rsid w:val="009D6D1F"/>
    <w:rsid w:val="009D72A5"/>
    <w:rsid w:val="009E7C8B"/>
    <w:rsid w:val="009F2A29"/>
    <w:rsid w:val="009F31AA"/>
    <w:rsid w:val="009F6DAC"/>
    <w:rsid w:val="00A069C2"/>
    <w:rsid w:val="00A10223"/>
    <w:rsid w:val="00A11BD5"/>
    <w:rsid w:val="00A26DB4"/>
    <w:rsid w:val="00A27102"/>
    <w:rsid w:val="00A27F3B"/>
    <w:rsid w:val="00A34CEA"/>
    <w:rsid w:val="00A47B41"/>
    <w:rsid w:val="00A512DC"/>
    <w:rsid w:val="00A52C50"/>
    <w:rsid w:val="00A628C9"/>
    <w:rsid w:val="00A6477D"/>
    <w:rsid w:val="00A6721E"/>
    <w:rsid w:val="00A80E19"/>
    <w:rsid w:val="00A8398D"/>
    <w:rsid w:val="00A858D1"/>
    <w:rsid w:val="00A86337"/>
    <w:rsid w:val="00A91FE5"/>
    <w:rsid w:val="00AA0769"/>
    <w:rsid w:val="00AA4E8D"/>
    <w:rsid w:val="00AB0307"/>
    <w:rsid w:val="00AB52C4"/>
    <w:rsid w:val="00AB6592"/>
    <w:rsid w:val="00AC3CC0"/>
    <w:rsid w:val="00AC5D88"/>
    <w:rsid w:val="00AC6972"/>
    <w:rsid w:val="00AD1337"/>
    <w:rsid w:val="00AD5AD5"/>
    <w:rsid w:val="00AE31A7"/>
    <w:rsid w:val="00B0737C"/>
    <w:rsid w:val="00B11FD8"/>
    <w:rsid w:val="00B13F0B"/>
    <w:rsid w:val="00B232C3"/>
    <w:rsid w:val="00B24E43"/>
    <w:rsid w:val="00B2564F"/>
    <w:rsid w:val="00B37AAD"/>
    <w:rsid w:val="00B42FB2"/>
    <w:rsid w:val="00B5228A"/>
    <w:rsid w:val="00B670D6"/>
    <w:rsid w:val="00B70A69"/>
    <w:rsid w:val="00B83E0F"/>
    <w:rsid w:val="00B967E1"/>
    <w:rsid w:val="00BA0647"/>
    <w:rsid w:val="00BA2B90"/>
    <w:rsid w:val="00BB5857"/>
    <w:rsid w:val="00BB6493"/>
    <w:rsid w:val="00BD48B6"/>
    <w:rsid w:val="00BE3E1F"/>
    <w:rsid w:val="00BE4DB2"/>
    <w:rsid w:val="00BF0053"/>
    <w:rsid w:val="00BF4A91"/>
    <w:rsid w:val="00BF54DF"/>
    <w:rsid w:val="00BF66F6"/>
    <w:rsid w:val="00C0544E"/>
    <w:rsid w:val="00C05801"/>
    <w:rsid w:val="00C1140B"/>
    <w:rsid w:val="00C12F70"/>
    <w:rsid w:val="00C2038A"/>
    <w:rsid w:val="00C22CD8"/>
    <w:rsid w:val="00C267C6"/>
    <w:rsid w:val="00C269DA"/>
    <w:rsid w:val="00C35464"/>
    <w:rsid w:val="00C36D72"/>
    <w:rsid w:val="00C410BC"/>
    <w:rsid w:val="00C418FA"/>
    <w:rsid w:val="00C46180"/>
    <w:rsid w:val="00C574AD"/>
    <w:rsid w:val="00C62169"/>
    <w:rsid w:val="00C67880"/>
    <w:rsid w:val="00C72B9F"/>
    <w:rsid w:val="00C75899"/>
    <w:rsid w:val="00C85D6F"/>
    <w:rsid w:val="00C85EE1"/>
    <w:rsid w:val="00C9026D"/>
    <w:rsid w:val="00C94059"/>
    <w:rsid w:val="00C940C7"/>
    <w:rsid w:val="00C96E7F"/>
    <w:rsid w:val="00CA090A"/>
    <w:rsid w:val="00CA2046"/>
    <w:rsid w:val="00CA3A6C"/>
    <w:rsid w:val="00CB2C17"/>
    <w:rsid w:val="00CB4619"/>
    <w:rsid w:val="00CB5BBE"/>
    <w:rsid w:val="00CB639E"/>
    <w:rsid w:val="00CB7677"/>
    <w:rsid w:val="00CC5317"/>
    <w:rsid w:val="00CC5538"/>
    <w:rsid w:val="00CC599F"/>
    <w:rsid w:val="00CC6764"/>
    <w:rsid w:val="00CC7F2A"/>
    <w:rsid w:val="00CD04D5"/>
    <w:rsid w:val="00CD1745"/>
    <w:rsid w:val="00CD38E2"/>
    <w:rsid w:val="00CD3F93"/>
    <w:rsid w:val="00CE061C"/>
    <w:rsid w:val="00CE15E1"/>
    <w:rsid w:val="00CF2D3B"/>
    <w:rsid w:val="00CF32FE"/>
    <w:rsid w:val="00D0115A"/>
    <w:rsid w:val="00D07326"/>
    <w:rsid w:val="00D138AB"/>
    <w:rsid w:val="00D14E6B"/>
    <w:rsid w:val="00D17832"/>
    <w:rsid w:val="00D3157E"/>
    <w:rsid w:val="00D32E67"/>
    <w:rsid w:val="00D33CC4"/>
    <w:rsid w:val="00D361CB"/>
    <w:rsid w:val="00D36498"/>
    <w:rsid w:val="00D51A78"/>
    <w:rsid w:val="00D550C7"/>
    <w:rsid w:val="00D56B64"/>
    <w:rsid w:val="00D6271E"/>
    <w:rsid w:val="00D672AF"/>
    <w:rsid w:val="00D67EB7"/>
    <w:rsid w:val="00D722A8"/>
    <w:rsid w:val="00D76145"/>
    <w:rsid w:val="00D763F7"/>
    <w:rsid w:val="00D84548"/>
    <w:rsid w:val="00D84D0F"/>
    <w:rsid w:val="00D91F90"/>
    <w:rsid w:val="00D92230"/>
    <w:rsid w:val="00D97E43"/>
    <w:rsid w:val="00DA7B0B"/>
    <w:rsid w:val="00DA7E15"/>
    <w:rsid w:val="00DC463E"/>
    <w:rsid w:val="00DC756D"/>
    <w:rsid w:val="00DD029C"/>
    <w:rsid w:val="00DD1399"/>
    <w:rsid w:val="00DD51DD"/>
    <w:rsid w:val="00DD750A"/>
    <w:rsid w:val="00DE1D77"/>
    <w:rsid w:val="00DF38C1"/>
    <w:rsid w:val="00E007C7"/>
    <w:rsid w:val="00E14D22"/>
    <w:rsid w:val="00E179B5"/>
    <w:rsid w:val="00E26A11"/>
    <w:rsid w:val="00E33D07"/>
    <w:rsid w:val="00E34BD8"/>
    <w:rsid w:val="00E43B2A"/>
    <w:rsid w:val="00E469F4"/>
    <w:rsid w:val="00E51E58"/>
    <w:rsid w:val="00E547CB"/>
    <w:rsid w:val="00E719A3"/>
    <w:rsid w:val="00E72788"/>
    <w:rsid w:val="00E9212D"/>
    <w:rsid w:val="00E92687"/>
    <w:rsid w:val="00EA0D01"/>
    <w:rsid w:val="00EA7590"/>
    <w:rsid w:val="00EB7DC4"/>
    <w:rsid w:val="00EC2667"/>
    <w:rsid w:val="00EC307A"/>
    <w:rsid w:val="00EC4F7D"/>
    <w:rsid w:val="00ED07F2"/>
    <w:rsid w:val="00EE05A6"/>
    <w:rsid w:val="00EF01AD"/>
    <w:rsid w:val="00EF0A91"/>
    <w:rsid w:val="00EF3D94"/>
    <w:rsid w:val="00EF5EF2"/>
    <w:rsid w:val="00F0047C"/>
    <w:rsid w:val="00F163EB"/>
    <w:rsid w:val="00F16C50"/>
    <w:rsid w:val="00F24027"/>
    <w:rsid w:val="00F24288"/>
    <w:rsid w:val="00F27CA7"/>
    <w:rsid w:val="00F41B41"/>
    <w:rsid w:val="00F525DC"/>
    <w:rsid w:val="00F57090"/>
    <w:rsid w:val="00F64B45"/>
    <w:rsid w:val="00F67249"/>
    <w:rsid w:val="00F7177B"/>
    <w:rsid w:val="00F77A2B"/>
    <w:rsid w:val="00F81F89"/>
    <w:rsid w:val="00F85599"/>
    <w:rsid w:val="00FA0425"/>
    <w:rsid w:val="00FA20DE"/>
    <w:rsid w:val="00FA4746"/>
    <w:rsid w:val="00FA6F35"/>
    <w:rsid w:val="00FB137E"/>
    <w:rsid w:val="00FB22A1"/>
    <w:rsid w:val="00FC2C5B"/>
    <w:rsid w:val="00FD300E"/>
    <w:rsid w:val="00FD46CB"/>
    <w:rsid w:val="00FE0AB9"/>
    <w:rsid w:val="00FE0B57"/>
    <w:rsid w:val="00FE7CF8"/>
    <w:rsid w:val="00FF34E0"/>
    <w:rsid w:val="00FF37AF"/>
    <w:rsid w:val="0AF76589"/>
    <w:rsid w:val="0FDB68DF"/>
    <w:rsid w:val="11FEAAB0"/>
    <w:rsid w:val="12CB02E9"/>
    <w:rsid w:val="12FEF3C9"/>
    <w:rsid w:val="19D351AC"/>
    <w:rsid w:val="1BD7F243"/>
    <w:rsid w:val="1BF59B17"/>
    <w:rsid w:val="1C7F76E6"/>
    <w:rsid w:val="1DA99A2D"/>
    <w:rsid w:val="1DBF61A7"/>
    <w:rsid w:val="1E9684DA"/>
    <w:rsid w:val="1FCBA7C7"/>
    <w:rsid w:val="1FEB731F"/>
    <w:rsid w:val="27FBD4A7"/>
    <w:rsid w:val="2ADC4E9D"/>
    <w:rsid w:val="2BBB90EA"/>
    <w:rsid w:val="2BD33961"/>
    <w:rsid w:val="2FFF3479"/>
    <w:rsid w:val="355BABA2"/>
    <w:rsid w:val="35DED7D2"/>
    <w:rsid w:val="36EFB0F6"/>
    <w:rsid w:val="37DA43CC"/>
    <w:rsid w:val="37DF6B30"/>
    <w:rsid w:val="37E71335"/>
    <w:rsid w:val="37FA241E"/>
    <w:rsid w:val="3B336D9C"/>
    <w:rsid w:val="3BD5016F"/>
    <w:rsid w:val="3BDFAF94"/>
    <w:rsid w:val="3BEB4160"/>
    <w:rsid w:val="3CFFDF1E"/>
    <w:rsid w:val="3D6F01D4"/>
    <w:rsid w:val="3D899492"/>
    <w:rsid w:val="3DB3694C"/>
    <w:rsid w:val="3DB7B363"/>
    <w:rsid w:val="3DBD954A"/>
    <w:rsid w:val="3EEB8C97"/>
    <w:rsid w:val="3EEFC4B8"/>
    <w:rsid w:val="3F162265"/>
    <w:rsid w:val="3F7D9B04"/>
    <w:rsid w:val="3FA52075"/>
    <w:rsid w:val="3FBF6658"/>
    <w:rsid w:val="3FDDC525"/>
    <w:rsid w:val="3FED4B3F"/>
    <w:rsid w:val="41FE0AD1"/>
    <w:rsid w:val="477C23A0"/>
    <w:rsid w:val="4BEFFC3A"/>
    <w:rsid w:val="4DDB16C9"/>
    <w:rsid w:val="4FBA835D"/>
    <w:rsid w:val="4FEF1007"/>
    <w:rsid w:val="4FFBBE8D"/>
    <w:rsid w:val="53FDFEC0"/>
    <w:rsid w:val="577D14B3"/>
    <w:rsid w:val="57BF0F66"/>
    <w:rsid w:val="57DF05E2"/>
    <w:rsid w:val="57F1274D"/>
    <w:rsid w:val="596E394E"/>
    <w:rsid w:val="5AFD2151"/>
    <w:rsid w:val="5BFF1FAF"/>
    <w:rsid w:val="5BFF58A3"/>
    <w:rsid w:val="5D8FC61B"/>
    <w:rsid w:val="5DAED800"/>
    <w:rsid w:val="5DD9E4DC"/>
    <w:rsid w:val="5ED726FE"/>
    <w:rsid w:val="5EEFEF98"/>
    <w:rsid w:val="5EFD8CAE"/>
    <w:rsid w:val="5EFD9B75"/>
    <w:rsid w:val="5F0FC7A9"/>
    <w:rsid w:val="5F36BCF4"/>
    <w:rsid w:val="5F3B9C25"/>
    <w:rsid w:val="5F7A3B9A"/>
    <w:rsid w:val="5FBF83E5"/>
    <w:rsid w:val="5FDF3BD4"/>
    <w:rsid w:val="5FEF6793"/>
    <w:rsid w:val="5FF1D177"/>
    <w:rsid w:val="5FFFB2A7"/>
    <w:rsid w:val="5FFFEB41"/>
    <w:rsid w:val="633F4BB1"/>
    <w:rsid w:val="637FB220"/>
    <w:rsid w:val="63B9BC7B"/>
    <w:rsid w:val="63F80A68"/>
    <w:rsid w:val="672CDD5E"/>
    <w:rsid w:val="678F5FF6"/>
    <w:rsid w:val="67FFB3F2"/>
    <w:rsid w:val="68BF6DBF"/>
    <w:rsid w:val="6BFF541C"/>
    <w:rsid w:val="6DBFA485"/>
    <w:rsid w:val="6DF2478B"/>
    <w:rsid w:val="6E97A9AA"/>
    <w:rsid w:val="6EDE952B"/>
    <w:rsid w:val="6EFB9472"/>
    <w:rsid w:val="6EFF182D"/>
    <w:rsid w:val="6F70F78F"/>
    <w:rsid w:val="6F7774A9"/>
    <w:rsid w:val="6FBF2448"/>
    <w:rsid w:val="6FBF89BA"/>
    <w:rsid w:val="6FD754EA"/>
    <w:rsid w:val="6FDFFC03"/>
    <w:rsid w:val="6FF63254"/>
    <w:rsid w:val="723288E7"/>
    <w:rsid w:val="7272FFDE"/>
    <w:rsid w:val="72AF885B"/>
    <w:rsid w:val="73F79BFE"/>
    <w:rsid w:val="73FD28B4"/>
    <w:rsid w:val="73FFCE0F"/>
    <w:rsid w:val="74B89F0A"/>
    <w:rsid w:val="74EED641"/>
    <w:rsid w:val="75B6ACEE"/>
    <w:rsid w:val="75BE38B9"/>
    <w:rsid w:val="75FF6954"/>
    <w:rsid w:val="777F2AF1"/>
    <w:rsid w:val="77B7FF51"/>
    <w:rsid w:val="77E701D5"/>
    <w:rsid w:val="77EE229F"/>
    <w:rsid w:val="77F2D475"/>
    <w:rsid w:val="77FDAC4A"/>
    <w:rsid w:val="77FE6D89"/>
    <w:rsid w:val="781A684F"/>
    <w:rsid w:val="78EC2295"/>
    <w:rsid w:val="799F0AAD"/>
    <w:rsid w:val="79F9DACA"/>
    <w:rsid w:val="7A8F7522"/>
    <w:rsid w:val="7AE31117"/>
    <w:rsid w:val="7AFFB54B"/>
    <w:rsid w:val="7B195190"/>
    <w:rsid w:val="7BB71F1B"/>
    <w:rsid w:val="7BBBD636"/>
    <w:rsid w:val="7BEF1BB6"/>
    <w:rsid w:val="7BF00E8F"/>
    <w:rsid w:val="7BFD1ACF"/>
    <w:rsid w:val="7BFD6B40"/>
    <w:rsid w:val="7BFF5A31"/>
    <w:rsid w:val="7CEF6A49"/>
    <w:rsid w:val="7D766892"/>
    <w:rsid w:val="7D9D86BF"/>
    <w:rsid w:val="7DACCDB0"/>
    <w:rsid w:val="7DBF108F"/>
    <w:rsid w:val="7DBFFB63"/>
    <w:rsid w:val="7DCE720F"/>
    <w:rsid w:val="7DF33959"/>
    <w:rsid w:val="7E67F489"/>
    <w:rsid w:val="7E6C03DC"/>
    <w:rsid w:val="7EBB5FF3"/>
    <w:rsid w:val="7EBD06B1"/>
    <w:rsid w:val="7EC9CA4C"/>
    <w:rsid w:val="7EE7B286"/>
    <w:rsid w:val="7EF90BCF"/>
    <w:rsid w:val="7EF9127E"/>
    <w:rsid w:val="7EFA9030"/>
    <w:rsid w:val="7EFF2050"/>
    <w:rsid w:val="7EFFED19"/>
    <w:rsid w:val="7F2D96BC"/>
    <w:rsid w:val="7F62550D"/>
    <w:rsid w:val="7F751900"/>
    <w:rsid w:val="7F7C7A30"/>
    <w:rsid w:val="7F7F3A3B"/>
    <w:rsid w:val="7F97F3F1"/>
    <w:rsid w:val="7F9D73FB"/>
    <w:rsid w:val="7F9D920B"/>
    <w:rsid w:val="7F9FB958"/>
    <w:rsid w:val="7FBF616D"/>
    <w:rsid w:val="7FCF0AE9"/>
    <w:rsid w:val="7FD35FCF"/>
    <w:rsid w:val="7FE03623"/>
    <w:rsid w:val="7FF54201"/>
    <w:rsid w:val="7FF6F206"/>
    <w:rsid w:val="7FF70E8C"/>
    <w:rsid w:val="7FF71C17"/>
    <w:rsid w:val="7FF7F9BB"/>
    <w:rsid w:val="7FFF1736"/>
    <w:rsid w:val="7FFF4890"/>
    <w:rsid w:val="7FFFD449"/>
    <w:rsid w:val="7FFFE8CF"/>
    <w:rsid w:val="7FFFFEFC"/>
    <w:rsid w:val="82EE5DF5"/>
    <w:rsid w:val="87523EF2"/>
    <w:rsid w:val="96BF0E8E"/>
    <w:rsid w:val="977BA7D1"/>
    <w:rsid w:val="97A7A431"/>
    <w:rsid w:val="99F6DD67"/>
    <w:rsid w:val="9D7FE818"/>
    <w:rsid w:val="9F7F977D"/>
    <w:rsid w:val="9FDD3930"/>
    <w:rsid w:val="9FF21D16"/>
    <w:rsid w:val="9FFAC3EB"/>
    <w:rsid w:val="AABFA827"/>
    <w:rsid w:val="AADCC150"/>
    <w:rsid w:val="AB3F7ABB"/>
    <w:rsid w:val="ADEF4877"/>
    <w:rsid w:val="AEBBC18B"/>
    <w:rsid w:val="AEDF2EB6"/>
    <w:rsid w:val="AF796849"/>
    <w:rsid w:val="AFCB6069"/>
    <w:rsid w:val="AFF76472"/>
    <w:rsid w:val="B6DE5895"/>
    <w:rsid w:val="B7F246E6"/>
    <w:rsid w:val="B7F6A271"/>
    <w:rsid w:val="B9BF6003"/>
    <w:rsid w:val="BAAB665A"/>
    <w:rsid w:val="BAFEBCA3"/>
    <w:rsid w:val="BBAB250A"/>
    <w:rsid w:val="BBBDF68D"/>
    <w:rsid w:val="BBFF8EC7"/>
    <w:rsid w:val="BCF45F16"/>
    <w:rsid w:val="BDFBA88C"/>
    <w:rsid w:val="BDFFA9A1"/>
    <w:rsid w:val="BE7F3376"/>
    <w:rsid w:val="BEEBC099"/>
    <w:rsid w:val="BF9D0651"/>
    <w:rsid w:val="BFA73894"/>
    <w:rsid w:val="BFCDFD68"/>
    <w:rsid w:val="BFFC5ABE"/>
    <w:rsid w:val="C36E22A6"/>
    <w:rsid w:val="C75FABCB"/>
    <w:rsid w:val="C77F3C60"/>
    <w:rsid w:val="C7DA8477"/>
    <w:rsid w:val="CABF0649"/>
    <w:rsid w:val="CABFB8CD"/>
    <w:rsid w:val="CBD78A15"/>
    <w:rsid w:val="CDF7E54B"/>
    <w:rsid w:val="CDFFAAA7"/>
    <w:rsid w:val="CF2EB68B"/>
    <w:rsid w:val="CF71EC40"/>
    <w:rsid w:val="CFA60DB8"/>
    <w:rsid w:val="D1FFBD38"/>
    <w:rsid w:val="D5F3151F"/>
    <w:rsid w:val="D67CF5DA"/>
    <w:rsid w:val="D6D6DC32"/>
    <w:rsid w:val="D72F1FE4"/>
    <w:rsid w:val="D7FAA079"/>
    <w:rsid w:val="DA3ED890"/>
    <w:rsid w:val="DABEA0C8"/>
    <w:rsid w:val="DBBFC97F"/>
    <w:rsid w:val="DCAEDF53"/>
    <w:rsid w:val="DCEFB937"/>
    <w:rsid w:val="DD7B5CB9"/>
    <w:rsid w:val="DDEF807A"/>
    <w:rsid w:val="DE9BD35E"/>
    <w:rsid w:val="DFCED9A8"/>
    <w:rsid w:val="DFEBAD60"/>
    <w:rsid w:val="DFEF0FA8"/>
    <w:rsid w:val="DFFE8D1A"/>
    <w:rsid w:val="E5FB3EC0"/>
    <w:rsid w:val="E5FDE031"/>
    <w:rsid w:val="E5FFD4EA"/>
    <w:rsid w:val="E743C59D"/>
    <w:rsid w:val="E74F0137"/>
    <w:rsid w:val="E7F3B622"/>
    <w:rsid w:val="E7FFF5E4"/>
    <w:rsid w:val="E9BF0E7F"/>
    <w:rsid w:val="E9F94221"/>
    <w:rsid w:val="E9FF97BC"/>
    <w:rsid w:val="EBB5AB51"/>
    <w:rsid w:val="EBCD13E8"/>
    <w:rsid w:val="EC6F348E"/>
    <w:rsid w:val="ED77BDE7"/>
    <w:rsid w:val="ED7BBD4F"/>
    <w:rsid w:val="EDF73CD9"/>
    <w:rsid w:val="EDFF2EF9"/>
    <w:rsid w:val="EE4970E7"/>
    <w:rsid w:val="EF5FC1F9"/>
    <w:rsid w:val="EF63F672"/>
    <w:rsid w:val="EF7C050C"/>
    <w:rsid w:val="EFA5AF34"/>
    <w:rsid w:val="EFD799B2"/>
    <w:rsid w:val="EFEF781D"/>
    <w:rsid w:val="EFEF9C0B"/>
    <w:rsid w:val="F1DFC48F"/>
    <w:rsid w:val="F1FBA8F1"/>
    <w:rsid w:val="F2FE8F44"/>
    <w:rsid w:val="F37FD823"/>
    <w:rsid w:val="F3B78634"/>
    <w:rsid w:val="F3EBDF08"/>
    <w:rsid w:val="F3F6272C"/>
    <w:rsid w:val="F4FD18E2"/>
    <w:rsid w:val="F55EA49B"/>
    <w:rsid w:val="F57509F9"/>
    <w:rsid w:val="F5FFAE0F"/>
    <w:rsid w:val="F6FDDFD4"/>
    <w:rsid w:val="F70F04A4"/>
    <w:rsid w:val="F75F49D7"/>
    <w:rsid w:val="F76F026F"/>
    <w:rsid w:val="F7BFC13D"/>
    <w:rsid w:val="F7CFA798"/>
    <w:rsid w:val="F7DF5737"/>
    <w:rsid w:val="F7F7F89B"/>
    <w:rsid w:val="F7FBC741"/>
    <w:rsid w:val="F7FBD60D"/>
    <w:rsid w:val="F7FF37D2"/>
    <w:rsid w:val="F7FF72AC"/>
    <w:rsid w:val="F8BE3BA8"/>
    <w:rsid w:val="F8F9EA16"/>
    <w:rsid w:val="F9DCC56A"/>
    <w:rsid w:val="FAC931A1"/>
    <w:rsid w:val="FAEF2F18"/>
    <w:rsid w:val="FB74CD59"/>
    <w:rsid w:val="FBBE4FC8"/>
    <w:rsid w:val="FBBF7051"/>
    <w:rsid w:val="FBCE6A0D"/>
    <w:rsid w:val="FBCF4792"/>
    <w:rsid w:val="FBD98C06"/>
    <w:rsid w:val="FBDE076E"/>
    <w:rsid w:val="FBE3E53A"/>
    <w:rsid w:val="FBEF535F"/>
    <w:rsid w:val="FBFBAA41"/>
    <w:rsid w:val="FBFEAA87"/>
    <w:rsid w:val="FBFF9885"/>
    <w:rsid w:val="FC6607ED"/>
    <w:rsid w:val="FCD90A28"/>
    <w:rsid w:val="FD6F6EDE"/>
    <w:rsid w:val="FD6FDEA2"/>
    <w:rsid w:val="FD7CC935"/>
    <w:rsid w:val="FDFB4FE6"/>
    <w:rsid w:val="FDFEF04F"/>
    <w:rsid w:val="FDFF48B2"/>
    <w:rsid w:val="FDFF5945"/>
    <w:rsid w:val="FE75CFFB"/>
    <w:rsid w:val="FE779F49"/>
    <w:rsid w:val="FE77E4F2"/>
    <w:rsid w:val="FE7E5B57"/>
    <w:rsid w:val="FE7F1FE0"/>
    <w:rsid w:val="FE8F916A"/>
    <w:rsid w:val="FE9B02AC"/>
    <w:rsid w:val="FEBB4AC0"/>
    <w:rsid w:val="FEBD6196"/>
    <w:rsid w:val="FED9417A"/>
    <w:rsid w:val="FEF766A3"/>
    <w:rsid w:val="FEF7FCEF"/>
    <w:rsid w:val="FEFDC660"/>
    <w:rsid w:val="FF2DD8AB"/>
    <w:rsid w:val="FF771FC9"/>
    <w:rsid w:val="FFA132B4"/>
    <w:rsid w:val="FFA7DA05"/>
    <w:rsid w:val="FFBF7433"/>
    <w:rsid w:val="FFCBFAAA"/>
    <w:rsid w:val="FFCC34E2"/>
    <w:rsid w:val="FFCEE789"/>
    <w:rsid w:val="FFCF8A24"/>
    <w:rsid w:val="FFDF3C0A"/>
    <w:rsid w:val="FFEA40ED"/>
    <w:rsid w:val="FFEF12F0"/>
    <w:rsid w:val="FFF6166A"/>
    <w:rsid w:val="FFF7D4B9"/>
    <w:rsid w:val="FFFB4AA6"/>
    <w:rsid w:val="FFFB9012"/>
    <w:rsid w:val="FFFC65F9"/>
    <w:rsid w:val="FFFEA9C4"/>
    <w:rsid w:val="FFFEAC48"/>
    <w:rsid w:val="FFFF6361"/>
    <w:rsid w:val="FFFF707F"/>
    <w:rsid w:val="FFFFC837"/>
    <w:rsid w:val="FFFFE44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jc w:val="both"/>
    </w:pPr>
    <w:rPr>
      <w:rFonts w:ascii="Times New Roman" w:hAnsi="Times New Roman" w:eastAsia="Times New Roman" w:cs="Times New Roman"/>
      <w:sz w:val="28"/>
      <w:szCs w:val="28"/>
      <w:lang w:val="uk-UA" w:eastAsia="zh-CN" w:bidi="ar-SA"/>
    </w:rPr>
  </w:style>
  <w:style w:type="paragraph" w:styleId="2">
    <w:name w:val="heading 1"/>
    <w:basedOn w:val="1"/>
    <w:next w:val="1"/>
    <w:link w:val="57"/>
    <w:qFormat/>
    <w:uiPriority w:val="9"/>
    <w:pPr>
      <w:keepNext/>
      <w:keepLines/>
      <w:spacing w:before="480" w:after="200"/>
      <w:outlineLvl w:val="0"/>
    </w:pPr>
    <w:rPr>
      <w:rFonts w:ascii="Arial" w:hAnsi="Arial" w:eastAsia="Arial" w:cs="Arial"/>
      <w:sz w:val="40"/>
      <w:szCs w:val="40"/>
    </w:rPr>
  </w:style>
  <w:style w:type="paragraph" w:styleId="3">
    <w:name w:val="heading 2"/>
    <w:basedOn w:val="1"/>
    <w:next w:val="1"/>
    <w:link w:val="58"/>
    <w:unhideWhenUsed/>
    <w:qFormat/>
    <w:uiPriority w:val="9"/>
    <w:pPr>
      <w:keepNext/>
      <w:keepLines/>
      <w:spacing w:before="360" w:after="200"/>
      <w:outlineLvl w:val="1"/>
    </w:pPr>
    <w:rPr>
      <w:rFonts w:ascii="Arial" w:hAnsi="Arial" w:eastAsia="Arial" w:cs="Arial"/>
      <w:sz w:val="34"/>
    </w:rPr>
  </w:style>
  <w:style w:type="paragraph" w:styleId="4">
    <w:name w:val="heading 3"/>
    <w:basedOn w:val="1"/>
    <w:next w:val="1"/>
    <w:link w:val="59"/>
    <w:unhideWhenUsed/>
    <w:qFormat/>
    <w:uiPriority w:val="9"/>
    <w:pPr>
      <w:keepNext/>
      <w:keepLines/>
      <w:spacing w:before="320" w:after="200"/>
      <w:outlineLvl w:val="2"/>
    </w:pPr>
    <w:rPr>
      <w:rFonts w:ascii="Arial" w:hAnsi="Arial" w:eastAsia="Arial" w:cs="Arial"/>
      <w:sz w:val="30"/>
      <w:szCs w:val="30"/>
    </w:rPr>
  </w:style>
  <w:style w:type="paragraph" w:styleId="5">
    <w:name w:val="heading 4"/>
    <w:basedOn w:val="1"/>
    <w:next w:val="1"/>
    <w:link w:val="60"/>
    <w:unhideWhenUsed/>
    <w:qFormat/>
    <w:uiPriority w:val="9"/>
    <w:pPr>
      <w:keepNext/>
      <w:keepLines/>
      <w:spacing w:before="320" w:after="200"/>
      <w:outlineLvl w:val="3"/>
    </w:pPr>
    <w:rPr>
      <w:rFonts w:ascii="Arial" w:hAnsi="Arial" w:eastAsia="Arial" w:cs="Arial"/>
      <w:b/>
      <w:bCs/>
      <w:sz w:val="26"/>
      <w:szCs w:val="26"/>
    </w:rPr>
  </w:style>
  <w:style w:type="paragraph" w:styleId="6">
    <w:name w:val="heading 5"/>
    <w:basedOn w:val="1"/>
    <w:next w:val="1"/>
    <w:link w:val="61"/>
    <w:unhideWhenUsed/>
    <w:qFormat/>
    <w:uiPriority w:val="9"/>
    <w:pPr>
      <w:keepNext/>
      <w:keepLines/>
      <w:spacing w:before="320" w:after="200"/>
      <w:outlineLvl w:val="4"/>
    </w:pPr>
    <w:rPr>
      <w:rFonts w:ascii="Arial" w:hAnsi="Arial" w:eastAsia="Arial" w:cs="Arial"/>
      <w:b/>
      <w:bCs/>
      <w:sz w:val="24"/>
      <w:szCs w:val="24"/>
    </w:rPr>
  </w:style>
  <w:style w:type="paragraph" w:styleId="7">
    <w:name w:val="heading 6"/>
    <w:basedOn w:val="1"/>
    <w:next w:val="1"/>
    <w:link w:val="62"/>
    <w:unhideWhenUsed/>
    <w:qFormat/>
    <w:uiPriority w:val="9"/>
    <w:pPr>
      <w:keepNext/>
      <w:keepLines/>
      <w:spacing w:before="320" w:after="200"/>
      <w:outlineLvl w:val="5"/>
    </w:pPr>
    <w:rPr>
      <w:rFonts w:ascii="Arial" w:hAnsi="Arial" w:eastAsia="Arial" w:cs="Arial"/>
      <w:b/>
      <w:bCs/>
      <w:sz w:val="22"/>
      <w:szCs w:val="22"/>
    </w:rPr>
  </w:style>
  <w:style w:type="paragraph" w:styleId="8">
    <w:name w:val="heading 7"/>
    <w:basedOn w:val="1"/>
    <w:next w:val="1"/>
    <w:link w:val="63"/>
    <w:unhideWhenUsed/>
    <w:qFormat/>
    <w:uiPriority w:val="9"/>
    <w:pPr>
      <w:keepNext/>
      <w:keepLines/>
      <w:spacing w:before="320" w:after="200"/>
      <w:outlineLvl w:val="6"/>
    </w:pPr>
    <w:rPr>
      <w:rFonts w:ascii="Arial" w:hAnsi="Arial" w:eastAsia="Arial" w:cs="Arial"/>
      <w:b/>
      <w:bCs/>
      <w:i/>
      <w:iCs/>
      <w:sz w:val="22"/>
      <w:szCs w:val="22"/>
    </w:rPr>
  </w:style>
  <w:style w:type="paragraph" w:styleId="9">
    <w:name w:val="heading 8"/>
    <w:basedOn w:val="1"/>
    <w:next w:val="1"/>
    <w:link w:val="64"/>
    <w:unhideWhenUsed/>
    <w:qFormat/>
    <w:uiPriority w:val="9"/>
    <w:pPr>
      <w:keepNext/>
      <w:keepLines/>
      <w:spacing w:before="320" w:after="200"/>
      <w:outlineLvl w:val="7"/>
    </w:pPr>
    <w:rPr>
      <w:rFonts w:ascii="Arial" w:hAnsi="Arial" w:eastAsia="Arial" w:cs="Arial"/>
      <w:i/>
      <w:iCs/>
      <w:sz w:val="22"/>
      <w:szCs w:val="22"/>
    </w:rPr>
  </w:style>
  <w:style w:type="paragraph" w:styleId="10">
    <w:name w:val="heading 9"/>
    <w:basedOn w:val="1"/>
    <w:next w:val="1"/>
    <w:link w:val="65"/>
    <w:unhideWhenUsed/>
    <w:qFormat/>
    <w:uiPriority w:val="9"/>
    <w:pPr>
      <w:keepNext/>
      <w:keepLines/>
      <w:spacing w:before="320" w:after="200"/>
      <w:outlineLvl w:val="8"/>
    </w:pPr>
    <w:rPr>
      <w:rFonts w:ascii="Arial" w:hAnsi="Arial" w:eastAsia="Arial" w:cs="Arial"/>
      <w:i/>
      <w:iCs/>
      <w:sz w:val="21"/>
      <w:szCs w:val="21"/>
    </w:rPr>
  </w:style>
  <w:style w:type="character" w:default="1" w:styleId="32">
    <w:name w:val="Default Paragraph Font"/>
    <w:unhideWhenUsed/>
    <w:qFormat/>
    <w:uiPriority w:val="1"/>
  </w:style>
  <w:style w:type="table" w:default="1" w:styleId="38">
    <w:name w:val="Normal Table"/>
    <w:unhideWhenUsed/>
    <w:qFormat/>
    <w:uiPriority w:val="99"/>
    <w:tblPr>
      <w:tblCellMar>
        <w:top w:w="0" w:type="dxa"/>
        <w:left w:w="108" w:type="dxa"/>
        <w:bottom w:w="0" w:type="dxa"/>
        <w:right w:w="108" w:type="dxa"/>
      </w:tblCellMar>
    </w:tblPr>
  </w:style>
  <w:style w:type="paragraph" w:styleId="11">
    <w:name w:val="Balloon Text"/>
    <w:basedOn w:val="1"/>
    <w:link w:val="210"/>
    <w:unhideWhenUsed/>
    <w:qFormat/>
    <w:uiPriority w:val="99"/>
    <w:rPr>
      <w:rFonts w:ascii="Segoe UI" w:hAnsi="Segoe UI" w:cs="Segoe UI"/>
      <w:sz w:val="18"/>
      <w:szCs w:val="18"/>
    </w:rPr>
  </w:style>
  <w:style w:type="paragraph" w:styleId="12">
    <w:name w:val="caption"/>
    <w:basedOn w:val="1"/>
    <w:next w:val="1"/>
    <w:unhideWhenUsed/>
    <w:qFormat/>
    <w:uiPriority w:val="35"/>
    <w:pPr>
      <w:spacing w:line="276" w:lineRule="auto"/>
    </w:pPr>
    <w:rPr>
      <w:b/>
      <w:bCs/>
      <w:color w:val="5B9BD5" w:themeColor="accent1"/>
      <w:sz w:val="18"/>
      <w:szCs w:val="18"/>
      <w14:textFill>
        <w14:solidFill>
          <w14:schemeClr w14:val="accent1"/>
        </w14:solidFill>
      </w14:textFill>
    </w:rPr>
  </w:style>
  <w:style w:type="paragraph" w:styleId="13">
    <w:name w:val="annotation text"/>
    <w:basedOn w:val="1"/>
    <w:link w:val="205"/>
    <w:unhideWhenUsed/>
    <w:qFormat/>
    <w:uiPriority w:val="99"/>
    <w:rPr>
      <w:sz w:val="20"/>
      <w:szCs w:val="20"/>
    </w:rPr>
  </w:style>
  <w:style w:type="paragraph" w:styleId="14">
    <w:name w:val="annotation subject"/>
    <w:basedOn w:val="13"/>
    <w:next w:val="13"/>
    <w:link w:val="211"/>
    <w:unhideWhenUsed/>
    <w:qFormat/>
    <w:uiPriority w:val="99"/>
    <w:rPr>
      <w:b/>
      <w:bCs/>
    </w:rPr>
  </w:style>
  <w:style w:type="paragraph" w:styleId="15">
    <w:name w:val="endnote text"/>
    <w:basedOn w:val="1"/>
    <w:link w:val="202"/>
    <w:unhideWhenUsed/>
    <w:qFormat/>
    <w:uiPriority w:val="99"/>
    <w:rPr>
      <w:sz w:val="20"/>
    </w:rPr>
  </w:style>
  <w:style w:type="paragraph" w:styleId="16">
    <w:name w:val="footer"/>
    <w:basedOn w:val="1"/>
    <w:link w:val="75"/>
    <w:unhideWhenUsed/>
    <w:qFormat/>
    <w:uiPriority w:val="99"/>
    <w:pPr>
      <w:tabs>
        <w:tab w:val="center" w:pos="7143"/>
        <w:tab w:val="right" w:pos="14287"/>
      </w:tabs>
    </w:pPr>
  </w:style>
  <w:style w:type="paragraph" w:styleId="17">
    <w:name w:val="footnote text"/>
    <w:basedOn w:val="1"/>
    <w:link w:val="201"/>
    <w:unhideWhenUsed/>
    <w:qFormat/>
    <w:uiPriority w:val="99"/>
    <w:pPr>
      <w:spacing w:after="40"/>
    </w:pPr>
    <w:rPr>
      <w:sz w:val="18"/>
    </w:rPr>
  </w:style>
  <w:style w:type="paragraph" w:styleId="18">
    <w:name w:val="header"/>
    <w:basedOn w:val="1"/>
    <w:link w:val="73"/>
    <w:unhideWhenUsed/>
    <w:qFormat/>
    <w:uiPriority w:val="99"/>
    <w:pPr>
      <w:tabs>
        <w:tab w:val="center" w:pos="7143"/>
        <w:tab w:val="right" w:pos="14287"/>
      </w:tabs>
    </w:pPr>
  </w:style>
  <w:style w:type="paragraph" w:styleId="19">
    <w:name w:val="Normal (Web)"/>
    <w:basedOn w:val="1"/>
    <w:unhideWhenUsed/>
    <w:qFormat/>
    <w:uiPriority w:val="99"/>
    <w:rPr>
      <w:sz w:val="24"/>
      <w:szCs w:val="24"/>
    </w:rPr>
  </w:style>
  <w:style w:type="paragraph" w:styleId="20">
    <w:name w:val="Subtitle"/>
    <w:basedOn w:val="1"/>
    <w:next w:val="1"/>
    <w:link w:val="68"/>
    <w:qFormat/>
    <w:uiPriority w:val="11"/>
    <w:pPr>
      <w:spacing w:before="200" w:after="200"/>
    </w:pPr>
    <w:rPr>
      <w:sz w:val="24"/>
      <w:szCs w:val="24"/>
    </w:rPr>
  </w:style>
  <w:style w:type="paragraph" w:styleId="21">
    <w:name w:val="table of figures"/>
    <w:basedOn w:val="1"/>
    <w:next w:val="1"/>
    <w:unhideWhenUsed/>
    <w:qFormat/>
    <w:uiPriority w:val="99"/>
  </w:style>
  <w:style w:type="paragraph" w:styleId="22">
    <w:name w:val="Title"/>
    <w:basedOn w:val="1"/>
    <w:next w:val="1"/>
    <w:link w:val="67"/>
    <w:qFormat/>
    <w:uiPriority w:val="10"/>
    <w:pPr>
      <w:spacing w:before="300" w:after="200"/>
      <w:contextualSpacing/>
    </w:pPr>
    <w:rPr>
      <w:sz w:val="48"/>
      <w:szCs w:val="48"/>
    </w:rPr>
  </w:style>
  <w:style w:type="paragraph" w:styleId="23">
    <w:name w:val="toc 1"/>
    <w:basedOn w:val="1"/>
    <w:next w:val="1"/>
    <w:unhideWhenUsed/>
    <w:qFormat/>
    <w:uiPriority w:val="39"/>
    <w:pPr>
      <w:spacing w:after="57"/>
    </w:pPr>
  </w:style>
  <w:style w:type="paragraph" w:styleId="24">
    <w:name w:val="toc 2"/>
    <w:basedOn w:val="1"/>
    <w:next w:val="1"/>
    <w:unhideWhenUsed/>
    <w:qFormat/>
    <w:uiPriority w:val="39"/>
    <w:pPr>
      <w:spacing w:after="57"/>
      <w:ind w:left="283"/>
    </w:pPr>
  </w:style>
  <w:style w:type="paragraph" w:styleId="25">
    <w:name w:val="toc 3"/>
    <w:basedOn w:val="1"/>
    <w:next w:val="1"/>
    <w:unhideWhenUsed/>
    <w:qFormat/>
    <w:uiPriority w:val="39"/>
    <w:pPr>
      <w:spacing w:after="57"/>
      <w:ind w:left="567"/>
    </w:pPr>
  </w:style>
  <w:style w:type="paragraph" w:styleId="26">
    <w:name w:val="toc 4"/>
    <w:basedOn w:val="1"/>
    <w:next w:val="1"/>
    <w:unhideWhenUsed/>
    <w:qFormat/>
    <w:uiPriority w:val="39"/>
    <w:pPr>
      <w:spacing w:after="57"/>
      <w:ind w:left="850"/>
    </w:pPr>
  </w:style>
  <w:style w:type="paragraph" w:styleId="27">
    <w:name w:val="toc 5"/>
    <w:basedOn w:val="1"/>
    <w:next w:val="1"/>
    <w:unhideWhenUsed/>
    <w:qFormat/>
    <w:uiPriority w:val="39"/>
    <w:pPr>
      <w:spacing w:after="57"/>
      <w:ind w:left="1134"/>
    </w:pPr>
  </w:style>
  <w:style w:type="paragraph" w:styleId="28">
    <w:name w:val="toc 6"/>
    <w:basedOn w:val="1"/>
    <w:next w:val="1"/>
    <w:unhideWhenUsed/>
    <w:qFormat/>
    <w:uiPriority w:val="39"/>
    <w:pPr>
      <w:spacing w:after="57"/>
      <w:ind w:left="1417"/>
    </w:pPr>
  </w:style>
  <w:style w:type="paragraph" w:styleId="29">
    <w:name w:val="toc 7"/>
    <w:basedOn w:val="1"/>
    <w:next w:val="1"/>
    <w:unhideWhenUsed/>
    <w:qFormat/>
    <w:uiPriority w:val="39"/>
    <w:pPr>
      <w:spacing w:after="57"/>
      <w:ind w:left="1701"/>
    </w:pPr>
  </w:style>
  <w:style w:type="paragraph" w:styleId="30">
    <w:name w:val="toc 8"/>
    <w:basedOn w:val="1"/>
    <w:next w:val="1"/>
    <w:unhideWhenUsed/>
    <w:qFormat/>
    <w:uiPriority w:val="39"/>
    <w:pPr>
      <w:spacing w:after="57"/>
      <w:ind w:left="1984"/>
    </w:pPr>
  </w:style>
  <w:style w:type="paragraph" w:styleId="31">
    <w:name w:val="toc 9"/>
    <w:basedOn w:val="1"/>
    <w:next w:val="1"/>
    <w:unhideWhenUsed/>
    <w:qFormat/>
    <w:uiPriority w:val="39"/>
    <w:pPr>
      <w:spacing w:after="57"/>
      <w:ind w:left="2268"/>
    </w:pPr>
  </w:style>
  <w:style w:type="character" w:styleId="33">
    <w:name w:val="annotation reference"/>
    <w:basedOn w:val="32"/>
    <w:unhideWhenUsed/>
    <w:qFormat/>
    <w:uiPriority w:val="99"/>
    <w:rPr>
      <w:sz w:val="16"/>
      <w:szCs w:val="16"/>
    </w:rPr>
  </w:style>
  <w:style w:type="character" w:styleId="34">
    <w:name w:val="Emphasis"/>
    <w:basedOn w:val="32"/>
    <w:qFormat/>
    <w:uiPriority w:val="20"/>
    <w:rPr>
      <w:i/>
      <w:iCs/>
    </w:rPr>
  </w:style>
  <w:style w:type="character" w:styleId="35">
    <w:name w:val="endnote reference"/>
    <w:basedOn w:val="32"/>
    <w:unhideWhenUsed/>
    <w:qFormat/>
    <w:uiPriority w:val="99"/>
    <w:rPr>
      <w:vertAlign w:val="superscript"/>
    </w:rPr>
  </w:style>
  <w:style w:type="character" w:styleId="36">
    <w:name w:val="footnote reference"/>
    <w:basedOn w:val="32"/>
    <w:unhideWhenUsed/>
    <w:qFormat/>
    <w:uiPriority w:val="99"/>
    <w:rPr>
      <w:vertAlign w:val="superscript"/>
    </w:rPr>
  </w:style>
  <w:style w:type="character" w:styleId="37">
    <w:name w:val="Hyperlink"/>
    <w:unhideWhenUsed/>
    <w:qFormat/>
    <w:uiPriority w:val="99"/>
    <w:rPr>
      <w:color w:val="0563C1" w:themeColor="hyperlink"/>
      <w:u w:val="single"/>
      <w14:textFill>
        <w14:solidFill>
          <w14:schemeClr w14:val="hlink"/>
        </w14:solidFill>
      </w14:textFill>
    </w:rPr>
  </w:style>
  <w:style w:type="table" w:styleId="39">
    <w:name w:val="Table Grid"/>
    <w:basedOn w:val="38"/>
    <w:qFormat/>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40">
    <w:name w:val="Heading 1 Char"/>
    <w:basedOn w:val="32"/>
    <w:qFormat/>
    <w:uiPriority w:val="9"/>
    <w:rPr>
      <w:rFonts w:ascii="Arial" w:hAnsi="Arial" w:eastAsia="Arial" w:cs="Arial"/>
      <w:sz w:val="40"/>
      <w:szCs w:val="40"/>
    </w:rPr>
  </w:style>
  <w:style w:type="character" w:customStyle="1" w:styleId="41">
    <w:name w:val="Heading 2 Char"/>
    <w:basedOn w:val="32"/>
    <w:qFormat/>
    <w:uiPriority w:val="9"/>
    <w:rPr>
      <w:rFonts w:ascii="Arial" w:hAnsi="Arial" w:eastAsia="Arial" w:cs="Arial"/>
      <w:sz w:val="34"/>
    </w:rPr>
  </w:style>
  <w:style w:type="character" w:customStyle="1" w:styleId="42">
    <w:name w:val="Heading 3 Char"/>
    <w:basedOn w:val="32"/>
    <w:qFormat/>
    <w:uiPriority w:val="9"/>
    <w:rPr>
      <w:rFonts w:ascii="Arial" w:hAnsi="Arial" w:eastAsia="Arial" w:cs="Arial"/>
      <w:sz w:val="30"/>
      <w:szCs w:val="30"/>
    </w:rPr>
  </w:style>
  <w:style w:type="character" w:customStyle="1" w:styleId="43">
    <w:name w:val="Heading 4 Char"/>
    <w:basedOn w:val="32"/>
    <w:qFormat/>
    <w:uiPriority w:val="9"/>
    <w:rPr>
      <w:rFonts w:ascii="Arial" w:hAnsi="Arial" w:eastAsia="Arial" w:cs="Arial"/>
      <w:b/>
      <w:bCs/>
      <w:sz w:val="26"/>
      <w:szCs w:val="26"/>
    </w:rPr>
  </w:style>
  <w:style w:type="character" w:customStyle="1" w:styleId="44">
    <w:name w:val="Heading 5 Char"/>
    <w:basedOn w:val="32"/>
    <w:qFormat/>
    <w:uiPriority w:val="9"/>
    <w:rPr>
      <w:rFonts w:ascii="Arial" w:hAnsi="Arial" w:eastAsia="Arial" w:cs="Arial"/>
      <w:b/>
      <w:bCs/>
      <w:sz w:val="24"/>
      <w:szCs w:val="24"/>
    </w:rPr>
  </w:style>
  <w:style w:type="character" w:customStyle="1" w:styleId="45">
    <w:name w:val="Heading 6 Char"/>
    <w:basedOn w:val="32"/>
    <w:qFormat/>
    <w:uiPriority w:val="9"/>
    <w:rPr>
      <w:rFonts w:ascii="Arial" w:hAnsi="Arial" w:eastAsia="Arial" w:cs="Arial"/>
      <w:b/>
      <w:bCs/>
      <w:sz w:val="22"/>
      <w:szCs w:val="22"/>
    </w:rPr>
  </w:style>
  <w:style w:type="character" w:customStyle="1" w:styleId="46">
    <w:name w:val="Heading 7 Char"/>
    <w:basedOn w:val="32"/>
    <w:qFormat/>
    <w:uiPriority w:val="9"/>
    <w:rPr>
      <w:rFonts w:ascii="Arial" w:hAnsi="Arial" w:eastAsia="Arial" w:cs="Arial"/>
      <w:b/>
      <w:bCs/>
      <w:i/>
      <w:iCs/>
      <w:sz w:val="22"/>
      <w:szCs w:val="22"/>
    </w:rPr>
  </w:style>
  <w:style w:type="character" w:customStyle="1" w:styleId="47">
    <w:name w:val="Heading 8 Char"/>
    <w:basedOn w:val="32"/>
    <w:qFormat/>
    <w:uiPriority w:val="9"/>
    <w:rPr>
      <w:rFonts w:ascii="Arial" w:hAnsi="Arial" w:eastAsia="Arial" w:cs="Arial"/>
      <w:i/>
      <w:iCs/>
      <w:sz w:val="22"/>
      <w:szCs w:val="22"/>
    </w:rPr>
  </w:style>
  <w:style w:type="character" w:customStyle="1" w:styleId="48">
    <w:name w:val="Heading 9 Char"/>
    <w:basedOn w:val="32"/>
    <w:qFormat/>
    <w:uiPriority w:val="9"/>
    <w:rPr>
      <w:rFonts w:ascii="Arial" w:hAnsi="Arial" w:eastAsia="Arial" w:cs="Arial"/>
      <w:i/>
      <w:iCs/>
      <w:sz w:val="21"/>
      <w:szCs w:val="21"/>
    </w:rPr>
  </w:style>
  <w:style w:type="character" w:customStyle="1" w:styleId="49">
    <w:name w:val="Title Char"/>
    <w:basedOn w:val="32"/>
    <w:qFormat/>
    <w:uiPriority w:val="10"/>
    <w:rPr>
      <w:sz w:val="48"/>
      <w:szCs w:val="48"/>
    </w:rPr>
  </w:style>
  <w:style w:type="character" w:customStyle="1" w:styleId="50">
    <w:name w:val="Subtitle Char"/>
    <w:basedOn w:val="32"/>
    <w:qFormat/>
    <w:uiPriority w:val="11"/>
    <w:rPr>
      <w:sz w:val="24"/>
      <w:szCs w:val="24"/>
    </w:rPr>
  </w:style>
  <w:style w:type="character" w:customStyle="1" w:styleId="51">
    <w:name w:val="Quote Char"/>
    <w:qFormat/>
    <w:uiPriority w:val="29"/>
    <w:rPr>
      <w:i/>
    </w:rPr>
  </w:style>
  <w:style w:type="character" w:customStyle="1" w:styleId="52">
    <w:name w:val="Intense Quote Char"/>
    <w:qFormat/>
    <w:uiPriority w:val="30"/>
    <w:rPr>
      <w:i/>
    </w:rPr>
  </w:style>
  <w:style w:type="character" w:customStyle="1" w:styleId="53">
    <w:name w:val="Header Char"/>
    <w:basedOn w:val="32"/>
    <w:qFormat/>
    <w:uiPriority w:val="99"/>
  </w:style>
  <w:style w:type="character" w:customStyle="1" w:styleId="54">
    <w:name w:val="Caption Char"/>
    <w:qFormat/>
    <w:uiPriority w:val="99"/>
  </w:style>
  <w:style w:type="character" w:customStyle="1" w:styleId="55">
    <w:name w:val="Footnote Text Char"/>
    <w:qFormat/>
    <w:uiPriority w:val="99"/>
    <w:rPr>
      <w:sz w:val="18"/>
    </w:rPr>
  </w:style>
  <w:style w:type="character" w:customStyle="1" w:styleId="56">
    <w:name w:val="Endnote Text Char"/>
    <w:qFormat/>
    <w:uiPriority w:val="99"/>
    <w:rPr>
      <w:sz w:val="20"/>
    </w:rPr>
  </w:style>
  <w:style w:type="character" w:customStyle="1" w:styleId="57">
    <w:name w:val="Заголовок 1 Знак"/>
    <w:basedOn w:val="32"/>
    <w:link w:val="2"/>
    <w:qFormat/>
    <w:uiPriority w:val="9"/>
    <w:rPr>
      <w:rFonts w:ascii="Arial" w:hAnsi="Arial" w:eastAsia="Arial" w:cs="Arial"/>
      <w:sz w:val="40"/>
      <w:szCs w:val="40"/>
    </w:rPr>
  </w:style>
  <w:style w:type="character" w:customStyle="1" w:styleId="58">
    <w:name w:val="Заголовок 2 Знак"/>
    <w:basedOn w:val="32"/>
    <w:link w:val="3"/>
    <w:qFormat/>
    <w:uiPriority w:val="9"/>
    <w:rPr>
      <w:rFonts w:ascii="Arial" w:hAnsi="Arial" w:eastAsia="Arial" w:cs="Arial"/>
      <w:sz w:val="34"/>
    </w:rPr>
  </w:style>
  <w:style w:type="character" w:customStyle="1" w:styleId="59">
    <w:name w:val="Заголовок 3 Знак"/>
    <w:basedOn w:val="32"/>
    <w:link w:val="4"/>
    <w:qFormat/>
    <w:uiPriority w:val="9"/>
    <w:rPr>
      <w:rFonts w:ascii="Arial" w:hAnsi="Arial" w:eastAsia="Arial" w:cs="Arial"/>
      <w:sz w:val="30"/>
      <w:szCs w:val="30"/>
    </w:rPr>
  </w:style>
  <w:style w:type="character" w:customStyle="1" w:styleId="60">
    <w:name w:val="Заголовок 4 Знак"/>
    <w:basedOn w:val="32"/>
    <w:link w:val="5"/>
    <w:qFormat/>
    <w:uiPriority w:val="9"/>
    <w:rPr>
      <w:rFonts w:ascii="Arial" w:hAnsi="Arial" w:eastAsia="Arial" w:cs="Arial"/>
      <w:b/>
      <w:bCs/>
      <w:sz w:val="26"/>
      <w:szCs w:val="26"/>
    </w:rPr>
  </w:style>
  <w:style w:type="character" w:customStyle="1" w:styleId="61">
    <w:name w:val="Заголовок 5 Знак"/>
    <w:basedOn w:val="32"/>
    <w:link w:val="6"/>
    <w:qFormat/>
    <w:uiPriority w:val="9"/>
    <w:rPr>
      <w:rFonts w:ascii="Arial" w:hAnsi="Arial" w:eastAsia="Arial" w:cs="Arial"/>
      <w:b/>
      <w:bCs/>
      <w:sz w:val="24"/>
      <w:szCs w:val="24"/>
    </w:rPr>
  </w:style>
  <w:style w:type="character" w:customStyle="1" w:styleId="62">
    <w:name w:val="Заголовок 6 Знак"/>
    <w:basedOn w:val="32"/>
    <w:link w:val="7"/>
    <w:qFormat/>
    <w:uiPriority w:val="9"/>
    <w:rPr>
      <w:rFonts w:ascii="Arial" w:hAnsi="Arial" w:eastAsia="Arial" w:cs="Arial"/>
      <w:b/>
      <w:bCs/>
      <w:sz w:val="22"/>
      <w:szCs w:val="22"/>
    </w:rPr>
  </w:style>
  <w:style w:type="character" w:customStyle="1" w:styleId="63">
    <w:name w:val="Заголовок 7 Знак"/>
    <w:basedOn w:val="32"/>
    <w:link w:val="8"/>
    <w:qFormat/>
    <w:uiPriority w:val="9"/>
    <w:rPr>
      <w:rFonts w:ascii="Arial" w:hAnsi="Arial" w:eastAsia="Arial" w:cs="Arial"/>
      <w:b/>
      <w:bCs/>
      <w:i/>
      <w:iCs/>
      <w:sz w:val="22"/>
      <w:szCs w:val="22"/>
    </w:rPr>
  </w:style>
  <w:style w:type="character" w:customStyle="1" w:styleId="64">
    <w:name w:val="Заголовок 8 Знак"/>
    <w:basedOn w:val="32"/>
    <w:link w:val="9"/>
    <w:qFormat/>
    <w:uiPriority w:val="9"/>
    <w:rPr>
      <w:rFonts w:ascii="Arial" w:hAnsi="Arial" w:eastAsia="Arial" w:cs="Arial"/>
      <w:i/>
      <w:iCs/>
      <w:sz w:val="22"/>
      <w:szCs w:val="22"/>
    </w:rPr>
  </w:style>
  <w:style w:type="character" w:customStyle="1" w:styleId="65">
    <w:name w:val="Заголовок 9 Знак"/>
    <w:basedOn w:val="32"/>
    <w:link w:val="10"/>
    <w:qFormat/>
    <w:uiPriority w:val="9"/>
    <w:rPr>
      <w:rFonts w:ascii="Arial" w:hAnsi="Arial" w:eastAsia="Arial" w:cs="Arial"/>
      <w:i/>
      <w:iCs/>
      <w:sz w:val="21"/>
      <w:szCs w:val="21"/>
    </w:rPr>
  </w:style>
  <w:style w:type="paragraph" w:customStyle="1" w:styleId="66">
    <w:name w:val="Без інтервалів1"/>
    <w:qFormat/>
    <w:uiPriority w:val="1"/>
    <w:pPr>
      <w:spacing w:after="0" w:line="240" w:lineRule="auto"/>
    </w:pPr>
    <w:rPr>
      <w:rFonts w:asciiTheme="minorHAnsi" w:hAnsiTheme="minorHAnsi" w:eastAsiaTheme="minorHAnsi" w:cstheme="minorBidi"/>
      <w:sz w:val="22"/>
      <w:szCs w:val="22"/>
      <w:lang w:val="uk-UA" w:eastAsia="en-US" w:bidi="ar-SA"/>
    </w:rPr>
  </w:style>
  <w:style w:type="character" w:customStyle="1" w:styleId="67">
    <w:name w:val="Назва Знак"/>
    <w:basedOn w:val="32"/>
    <w:link w:val="22"/>
    <w:qFormat/>
    <w:uiPriority w:val="10"/>
    <w:rPr>
      <w:sz w:val="48"/>
      <w:szCs w:val="48"/>
    </w:rPr>
  </w:style>
  <w:style w:type="character" w:customStyle="1" w:styleId="68">
    <w:name w:val="Підзаголовок Знак"/>
    <w:basedOn w:val="32"/>
    <w:link w:val="20"/>
    <w:qFormat/>
    <w:uiPriority w:val="11"/>
    <w:rPr>
      <w:sz w:val="24"/>
      <w:szCs w:val="24"/>
    </w:rPr>
  </w:style>
  <w:style w:type="paragraph" w:customStyle="1" w:styleId="69">
    <w:name w:val="Цитата1"/>
    <w:basedOn w:val="1"/>
    <w:next w:val="1"/>
    <w:link w:val="70"/>
    <w:qFormat/>
    <w:uiPriority w:val="29"/>
    <w:pPr>
      <w:ind w:left="720" w:right="720"/>
    </w:pPr>
    <w:rPr>
      <w:i/>
    </w:rPr>
  </w:style>
  <w:style w:type="character" w:customStyle="1" w:styleId="70">
    <w:name w:val="Цитата Знак"/>
    <w:link w:val="69"/>
    <w:qFormat/>
    <w:uiPriority w:val="29"/>
    <w:rPr>
      <w:i/>
    </w:rPr>
  </w:style>
  <w:style w:type="paragraph" w:customStyle="1" w:styleId="71">
    <w:name w:val="Насичена цитата1"/>
    <w:basedOn w:val="1"/>
    <w:next w:val="1"/>
    <w:link w:val="72"/>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72">
    <w:name w:val="Насичена цитата Знак"/>
    <w:link w:val="71"/>
    <w:qFormat/>
    <w:uiPriority w:val="30"/>
    <w:rPr>
      <w:i/>
    </w:rPr>
  </w:style>
  <w:style w:type="character" w:customStyle="1" w:styleId="73">
    <w:name w:val="Верхній колонтитул Знак"/>
    <w:basedOn w:val="32"/>
    <w:link w:val="18"/>
    <w:qFormat/>
    <w:uiPriority w:val="99"/>
  </w:style>
  <w:style w:type="character" w:customStyle="1" w:styleId="74">
    <w:name w:val="Footer Char"/>
    <w:basedOn w:val="32"/>
    <w:qFormat/>
    <w:uiPriority w:val="99"/>
  </w:style>
  <w:style w:type="character" w:customStyle="1" w:styleId="75">
    <w:name w:val="Нижній колонтитул Знак"/>
    <w:link w:val="16"/>
    <w:qFormat/>
    <w:uiPriority w:val="99"/>
  </w:style>
  <w:style w:type="table" w:customStyle="1" w:styleId="76">
    <w:name w:val="Table Grid Light1"/>
    <w:basedOn w:val="38"/>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style>
  <w:style w:type="table" w:customStyle="1" w:styleId="77">
    <w:name w:val="Звичайна таблиця 11"/>
    <w:basedOn w:val="38"/>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78">
    <w:name w:val="Звичайна таблиця 21"/>
    <w:basedOn w:val="38"/>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79">
    <w:name w:val="Звичайна таблиця 31"/>
    <w:basedOn w:val="38"/>
    <w:qFormat/>
    <w:uiPriority w:val="99"/>
    <w:pPr>
      <w:spacing w:after="0" w:line="240" w:lineRule="auto"/>
    </w:p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80">
    <w:name w:val="Звичайна таблиця 41"/>
    <w:basedOn w:val="38"/>
    <w:qFormat/>
    <w:uiPriority w:val="99"/>
    <w:pPr>
      <w:spacing w:after="0" w:line="240" w:lineRule="auto"/>
    </w:p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81">
    <w:name w:val="Звичайна таблиця 51"/>
    <w:basedOn w:val="38"/>
    <w:qFormat/>
    <w:uiPriority w:val="99"/>
    <w:pPr>
      <w:spacing w:after="0" w:line="240" w:lineRule="auto"/>
    </w:p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82">
    <w:name w:val="Сітка таблиці 1 (світла)1"/>
    <w:basedOn w:val="38"/>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83">
    <w:name w:val="Grid Table 1 Light - Accent 11"/>
    <w:basedOn w:val="38"/>
    <w:qFormat/>
    <w:uiPriority w:val="99"/>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color w:val="404040"/>
      </w:rPr>
      <w:tcPr>
        <w:tcBorders>
          <w:bottom w:val="single" w:color="9FC4E6"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84">
    <w:name w:val="Grid Table 1 Light - Accent 21"/>
    <w:basedOn w:val="38"/>
    <w:qFormat/>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85">
    <w:name w:val="Grid Table 1 Light - Accent 31"/>
    <w:basedOn w:val="38"/>
    <w:qFormat/>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86">
    <w:name w:val="Grid Table 1 Light - Accent 41"/>
    <w:basedOn w:val="38"/>
    <w:qFormat/>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87">
    <w:name w:val="Grid Table 1 Light - Accent 51"/>
    <w:basedOn w:val="38"/>
    <w:qFormat/>
    <w:uiPriority w:val="99"/>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b/>
        <w:color w:val="404040"/>
      </w:rPr>
      <w:tcPr>
        <w:tcBorders>
          <w:bottom w:val="single" w:color="91ACDC"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88">
    <w:name w:val="Grid Table 1 Light - Accent 61"/>
    <w:basedOn w:val="38"/>
    <w:qFormat/>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89">
    <w:name w:val="Таблиця-сітка 21"/>
    <w:basedOn w:val="38"/>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90">
    <w:name w:val="Grid Table 2 - Accent 11"/>
    <w:basedOn w:val="38"/>
    <w:qFormat/>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single" w:color="68A3D8" w:themeColor="accent1" w:themeTint="EA" w:sz="12" w:space="0"/>
          <w:right w:val="nil"/>
        </w:tcBorders>
        <w:shd w:val="clear" w:color="FFFFFF" w:fill="auto"/>
      </w:tcPr>
    </w:tblStylePr>
    <w:tblStylePr w:type="lastRow">
      <w:rPr>
        <w:b/>
        <w:color w:val="404040"/>
      </w:rPr>
      <w:tcPr>
        <w:tcBorders>
          <w:top w:val="single" w:color="68A3D8"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DEAF6" w:themeColor="accent1" w:themeTint="34" w:fill="DDEAF6" w:themeFill="accent1" w:themeFillTint="34"/>
      </w:tcPr>
    </w:tblStylePr>
    <w:tblStylePr w:type="band1Horz">
      <w:rPr>
        <w:rFonts w:ascii="Arial" w:hAnsi="Arial"/>
        <w:color w:val="404040"/>
        <w:sz w:val="22"/>
      </w:rPr>
      <w:tcPr>
        <w:shd w:val="clear" w:color="DDEAF6" w:themeColor="accent1" w:themeTint="34" w:fill="DDEAF6" w:themeFill="accent1" w:themeFillTint="34"/>
      </w:tcPr>
    </w:tblStylePr>
  </w:style>
  <w:style w:type="table" w:customStyle="1" w:styleId="91">
    <w:name w:val="Grid Table 2 - Accent 21"/>
    <w:basedOn w:val="38"/>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single" w:color="F4B285" w:themeColor="accent2" w:themeTint="97" w:sz="12" w:space="0"/>
          <w:right w:val="nil"/>
        </w:tcBorders>
        <w:shd w:val="clear" w:color="FFFFFF" w:fill="auto"/>
      </w:tcPr>
    </w:tblStylePr>
    <w:tblStylePr w:type="lastRow">
      <w:rPr>
        <w:b/>
        <w:color w:val="404040"/>
      </w:rPr>
      <w:tcPr>
        <w:tcBorders>
          <w:top w:val="single" w:color="F4B28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92">
    <w:name w:val="Grid Table 2 - Accent 31"/>
    <w:basedOn w:val="38"/>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single" w:color="A5A5A5" w:themeColor="accent3" w:themeTint="FE" w:sz="12" w:space="0"/>
          <w:right w:val="nil"/>
        </w:tcBorders>
        <w:shd w:val="clear" w:color="FFFFFF" w:fill="auto"/>
      </w:tcPr>
    </w:tblStylePr>
    <w:tblStylePr w:type="lastRow">
      <w:rPr>
        <w:b/>
        <w:color w:val="404040"/>
      </w:rPr>
      <w:tcPr>
        <w:tcBorders>
          <w:top w:val="single" w:color="A5A5A5"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93">
    <w:name w:val="Grid Table 2 - Accent 41"/>
    <w:basedOn w:val="38"/>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single" w:color="FFD864" w:themeColor="accent4" w:themeTint="9A" w:sz="12" w:space="0"/>
          <w:right w:val="nil"/>
        </w:tcBorders>
        <w:shd w:val="clear" w:color="FFFFFF" w:fill="auto"/>
      </w:tcPr>
    </w:tblStylePr>
    <w:tblStylePr w:type="lastRow">
      <w:rPr>
        <w:b/>
        <w:color w:val="404040"/>
      </w:rPr>
      <w:tcPr>
        <w:tcBorders>
          <w:top w:val="single" w:color="FFD864"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94">
    <w:name w:val="Grid Table 2 - Accent 51"/>
    <w:basedOn w:val="38"/>
    <w:qFormat/>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single" w:color="4472C4" w:themeColor="accent5" w:sz="12" w:space="0"/>
          <w:right w:val="nil"/>
        </w:tcBorders>
        <w:shd w:val="clear" w:color="FFFFFF" w:fill="auto"/>
      </w:tcPr>
    </w:tblStylePr>
    <w:tblStylePr w:type="lastRow">
      <w:rPr>
        <w:b/>
        <w:color w:val="404040"/>
      </w:rPr>
      <w:tcPr>
        <w:tcBorders>
          <w:top w:val="single" w:color="4472C4"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95">
    <w:name w:val="Grid Table 2 - Accent 61"/>
    <w:basedOn w:val="38"/>
    <w:qFormat/>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single" w:color="70AD47" w:themeColor="accent6" w:sz="12" w:space="0"/>
          <w:right w:val="nil"/>
        </w:tcBorders>
        <w:shd w:val="clear" w:color="FFFFFF" w:fill="auto"/>
      </w:tcPr>
    </w:tblStylePr>
    <w:tblStylePr w:type="lastRow">
      <w:rPr>
        <w:b/>
        <w:color w:val="404040"/>
      </w:rPr>
      <w:tcPr>
        <w:tcBorders>
          <w:top w:val="single" w:color="70AD47"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96">
    <w:name w:val="Таблиця-сітка 31"/>
    <w:basedOn w:val="38"/>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97">
    <w:name w:val="Grid Table 3 - Accent 11"/>
    <w:basedOn w:val="38"/>
    <w:qFormat/>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DEAF6" w:themeColor="accent1" w:themeTint="34" w:fill="DDEAF6" w:themeFill="accent1" w:themeFillTint="34"/>
      </w:tcPr>
    </w:tblStylePr>
    <w:tblStylePr w:type="band1Horz">
      <w:rPr>
        <w:rFonts w:ascii="Arial" w:hAnsi="Arial"/>
        <w:color w:val="404040"/>
        <w:sz w:val="22"/>
      </w:rPr>
      <w:tcPr>
        <w:shd w:val="clear" w:color="DDEAF6" w:themeColor="accent1" w:themeTint="34" w:fill="DDEAF6" w:themeFill="accent1" w:themeFillTint="34"/>
      </w:tcPr>
    </w:tblStylePr>
  </w:style>
  <w:style w:type="table" w:customStyle="1" w:styleId="98">
    <w:name w:val="Grid Table 3 - Accent 21"/>
    <w:basedOn w:val="38"/>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99">
    <w:name w:val="Grid Table 3 - Accent 31"/>
    <w:basedOn w:val="38"/>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100">
    <w:name w:val="Grid Table 3 - Accent 41"/>
    <w:basedOn w:val="38"/>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101">
    <w:name w:val="Grid Table 3 - Accent 51"/>
    <w:basedOn w:val="38"/>
    <w:qFormat/>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102">
    <w:name w:val="Grid Table 3 - Accent 61"/>
    <w:basedOn w:val="38"/>
    <w:qFormat/>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103">
    <w:name w:val="Таблиця-сітка 41"/>
    <w:basedOn w:val="38"/>
    <w:qFormat/>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104">
    <w:name w:val="Grid Table 4 - Accent 11"/>
    <w:basedOn w:val="38"/>
    <w:qFormat/>
    <w:uiPriority w:val="5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rFonts w:ascii="Arial" w:hAnsi="Arial"/>
        <w:b/>
        <w:color w:val="FFFFFF"/>
        <w:sz w:val="22"/>
      </w:rPr>
      <w:tcPr>
        <w:tcBorders>
          <w:top w:val="single" w:color="68A3D8" w:themeColor="accent1" w:themeTint="EA" w:sz="4" w:space="0"/>
          <w:left w:val="single" w:color="68A3D8" w:themeColor="accent1" w:themeTint="EA" w:sz="4" w:space="0"/>
          <w:bottom w:val="single" w:color="68A3D8" w:themeColor="accent1" w:themeTint="EA" w:sz="4" w:space="0"/>
          <w:right w:val="single" w:color="68A3D8" w:themeColor="accent1" w:themeTint="EA" w:sz="4" w:space="0"/>
        </w:tcBorders>
        <w:shd w:val="clear" w:color="68A3D8" w:themeColor="accent1" w:themeTint="EA" w:fill="68A3D8" w:themeFill="accent1" w:themeFillTint="EA"/>
      </w:tcPr>
    </w:tblStylePr>
    <w:tblStylePr w:type="lastRow">
      <w:rPr>
        <w:b/>
        <w:color w:val="404040"/>
      </w:rPr>
      <w:tcPr>
        <w:tcBorders>
          <w:top w:val="single" w:color="68A3D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EEBF6" w:themeColor="accent1" w:themeTint="32" w:fill="DEEBF6" w:themeFill="accent1" w:themeFillTint="32"/>
      </w:tcPr>
    </w:tblStylePr>
    <w:tblStylePr w:type="band1Horz">
      <w:rPr>
        <w:rFonts w:ascii="Arial" w:hAnsi="Arial"/>
        <w:color w:val="404040"/>
        <w:sz w:val="22"/>
      </w:rPr>
      <w:tcPr>
        <w:shd w:val="clear" w:color="DEEBF6" w:themeColor="accent1" w:themeTint="32" w:fill="DEEBF6" w:themeFill="accent1" w:themeFillTint="32"/>
      </w:tcPr>
    </w:tblStylePr>
  </w:style>
  <w:style w:type="table" w:customStyle="1" w:styleId="105">
    <w:name w:val="Grid Table 4 - Accent 21"/>
    <w:basedOn w:val="38"/>
    <w:qFormat/>
    <w:uiPriority w:val="5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F4B285" w:themeColor="accent2" w:themeTint="97" w:fill="F4B285" w:themeFill="accent2" w:themeFillTint="97"/>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106">
    <w:name w:val="Grid Table 4 - Accent 31"/>
    <w:basedOn w:val="38"/>
    <w:qFormat/>
    <w:uiPriority w:val="5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5A5A5" w:themeColor="accent3" w:themeTint="FE"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107">
    <w:name w:val="Grid Table 4 - Accent 41"/>
    <w:basedOn w:val="38"/>
    <w:qFormat/>
    <w:uiPriority w:val="5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FFD864" w:themeColor="accent4" w:themeTint="9A" w:fill="FFD864" w:themeFill="accent4" w:themeFillTint="9A"/>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108">
    <w:name w:val="Grid Table 4 - Accent 51"/>
    <w:basedOn w:val="38"/>
    <w:qFormat/>
    <w:uiPriority w:val="5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rFonts w:ascii="Arial" w:hAnsi="Arial"/>
        <w:b/>
        <w:color w:val="FFFFFF"/>
        <w:sz w:val="22"/>
      </w:r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themeColor="accent5" w:fill="4472C4" w:themeFill="accent5"/>
      </w:tcPr>
    </w:tblStylePr>
    <w:tblStylePr w:type="lastRow">
      <w:rPr>
        <w:b/>
        <w:color w:val="404040"/>
      </w:rPr>
      <w:tcPr>
        <w:tcBorders>
          <w:top w:val="single" w:color="4472C4"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109">
    <w:name w:val="Grid Table 4 - Accent 61"/>
    <w:basedOn w:val="38"/>
    <w:qFormat/>
    <w:uiPriority w:val="5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themeColor="accent6"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110">
    <w:name w:val="Сітка таблиці 5 (темна)1"/>
    <w:basedOn w:val="38"/>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111">
    <w:name w:val="Grid Table 5 Dark- Accent 1"/>
    <w:basedOn w:val="38"/>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5B9BD5" w:themeColor="accent1" w:fill="5B9BD5" w:themeFill="accent1"/>
      </w:tcPr>
    </w:tblStylePr>
    <w:tblStylePr w:type="lastRow">
      <w:rPr>
        <w:rFonts w:ascii="Arial" w:hAnsi="Arial"/>
        <w:b/>
        <w:color w:val="FFFFFF"/>
        <w:sz w:val="22"/>
      </w:rPr>
      <w:tcPr>
        <w:tcBorders>
          <w:top w:val="single" w:color="FFFFFF" w:themeColor="light1" w:sz="4" w:space="0"/>
        </w:tcBorders>
        <w:shd w:val="clear" w:color="5B9BD5" w:themeColor="accent1" w:fill="5B9BD5" w:themeFill="accent1"/>
      </w:tcPr>
    </w:tblStylePr>
    <w:tblStylePr w:type="firstCol">
      <w:rPr>
        <w:rFonts w:ascii="Arial" w:hAnsi="Arial"/>
        <w:b/>
        <w:color w:val="FFFFFF"/>
        <w:sz w:val="22"/>
      </w:rPr>
      <w:tcPr>
        <w:shd w:val="clear" w:color="5B9BD5" w:themeColor="accent1" w:fill="5B9BD5" w:themeFill="accent1"/>
      </w:tcPr>
    </w:tblStylePr>
    <w:tblStylePr w:type="lastCol">
      <w:rPr>
        <w:rFonts w:ascii="Arial" w:hAnsi="Arial"/>
        <w:b/>
        <w:color w:val="FFFFFF"/>
        <w:sz w:val="22"/>
      </w:rPr>
      <w:tcPr>
        <w:shd w:val="clear" w:color="5B9BD5" w:themeColor="accent1" w:fill="5B9BD5" w:themeFill="accent1"/>
      </w:tcPr>
    </w:tblStylePr>
    <w:tblStylePr w:type="band1Vert">
      <w:tcPr>
        <w:shd w:val="clear" w:color="B3D1EB" w:themeColor="accent1" w:themeTint="75" w:fill="B3D1EB" w:themeFill="accent1" w:themeFillTint="75"/>
      </w:tcPr>
    </w:tblStylePr>
    <w:tblStylePr w:type="band1Horz">
      <w:tcPr>
        <w:shd w:val="clear" w:color="B3D1EB" w:themeColor="accent1" w:themeTint="75" w:fill="B3D1EB" w:themeFill="accent1" w:themeFillTint="75"/>
      </w:tcPr>
    </w:tblStylePr>
  </w:style>
  <w:style w:type="table" w:customStyle="1" w:styleId="112">
    <w:name w:val="Grid Table 5 Dark - Accent 21"/>
    <w:basedOn w:val="38"/>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tcBorders>
          <w:top w:val="single" w:color="FFFFFF" w:themeColor="light1" w:sz="4" w:space="0"/>
        </w:tcBorders>
        <w:shd w:val="clear" w:color="ED7D31" w:themeColor="accent2" w:fill="ED7D31" w:themeFill="accent2"/>
      </w:tcPr>
    </w:tblStylePr>
    <w:tblStylePr w:type="firstCol">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band1Vert">
      <w:tcPr>
        <w:shd w:val="clear" w:color="F6C3A0" w:themeColor="accent2" w:themeTint="75" w:fill="F6C3A0" w:themeFill="accent2" w:themeFillTint="75"/>
      </w:tcPr>
    </w:tblStylePr>
    <w:tblStylePr w:type="band1Horz">
      <w:tcPr>
        <w:shd w:val="clear" w:color="F6C3A0" w:themeColor="accent2" w:themeTint="75" w:fill="F6C3A0" w:themeFill="accent2" w:themeFillTint="75"/>
      </w:tcPr>
    </w:tblStylePr>
  </w:style>
  <w:style w:type="table" w:customStyle="1" w:styleId="113">
    <w:name w:val="Grid Table 5 Dark - Accent 31"/>
    <w:basedOn w:val="38"/>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tcBorders>
          <w:top w:val="single" w:color="FFFFFF" w:themeColor="light1" w:sz="4" w:space="0"/>
        </w:tcBorders>
        <w:shd w:val="clear" w:color="A5A5A5" w:themeColor="accent3" w:fill="A5A5A5" w:themeFill="accent3"/>
      </w:tcPr>
    </w:tblStylePr>
    <w:tblStylePr w:type="firstCol">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band1Vert">
      <w:tcPr>
        <w:shd w:val="clear" w:color="D5D5D5" w:themeColor="accent3" w:themeTint="75" w:fill="D5D5D5" w:themeFill="accent3" w:themeFillTint="75"/>
      </w:tcPr>
    </w:tblStylePr>
    <w:tblStylePr w:type="band1Horz">
      <w:tcPr>
        <w:shd w:val="clear" w:color="D5D5D5" w:themeColor="accent3" w:themeTint="75" w:fill="D5D5D5" w:themeFill="accent3" w:themeFillTint="75"/>
      </w:tcPr>
    </w:tblStylePr>
  </w:style>
  <w:style w:type="table" w:customStyle="1" w:styleId="114">
    <w:name w:val="Grid Table 5 Dark- Accent 4"/>
    <w:basedOn w:val="38"/>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tcBorders>
          <w:top w:val="single" w:color="FFFFFF" w:themeColor="light1" w:sz="4" w:space="0"/>
        </w:tcBorders>
        <w:shd w:val="clear" w:color="FFC000" w:themeColor="accent4" w:fill="FFC000" w:themeFill="accent4"/>
      </w:tcPr>
    </w:tblStylePr>
    <w:tblStylePr w:type="firstCol">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band1Vert">
      <w:tcPr>
        <w:shd w:val="clear" w:color="FEE289" w:themeColor="accent4" w:themeTint="75" w:fill="FEE289" w:themeFill="accent4" w:themeFillTint="75"/>
      </w:tcPr>
    </w:tblStylePr>
    <w:tblStylePr w:type="band1Horz">
      <w:tcPr>
        <w:shd w:val="clear" w:color="FEE289" w:themeColor="accent4" w:themeTint="75" w:fill="FEE289" w:themeFill="accent4" w:themeFillTint="75"/>
      </w:tcPr>
    </w:tblStylePr>
  </w:style>
  <w:style w:type="table" w:customStyle="1" w:styleId="115">
    <w:name w:val="Grid Table 5 Dark - Accent 51"/>
    <w:basedOn w:val="38"/>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472C4" w:themeColor="accent5" w:fill="4472C4" w:themeFill="accent5"/>
      </w:tcPr>
    </w:tblStylePr>
    <w:tblStylePr w:type="lastRow">
      <w:rPr>
        <w:rFonts w:ascii="Arial" w:hAnsi="Arial"/>
        <w:b/>
        <w:color w:val="FFFFFF"/>
        <w:sz w:val="22"/>
      </w:rPr>
      <w:tcPr>
        <w:tcBorders>
          <w:top w:val="single" w:color="FFFFFF" w:themeColor="light1" w:sz="4" w:space="0"/>
        </w:tcBorders>
        <w:shd w:val="clear" w:color="4472C4" w:themeColor="accent5" w:fill="4472C4" w:themeFill="accent5"/>
      </w:tcPr>
    </w:tblStylePr>
    <w:tblStylePr w:type="firstCol">
      <w:rPr>
        <w:rFonts w:ascii="Arial" w:hAnsi="Arial"/>
        <w:b/>
        <w:color w:val="FFFFFF"/>
        <w:sz w:val="22"/>
      </w:rPr>
      <w:tcPr>
        <w:shd w:val="clear" w:color="4472C4" w:themeColor="accent5" w:fill="4472C4" w:themeFill="accent5"/>
      </w:tcPr>
    </w:tblStylePr>
    <w:tblStylePr w:type="lastCol">
      <w:rPr>
        <w:rFonts w:ascii="Arial" w:hAnsi="Arial"/>
        <w:b/>
        <w:color w:val="FFFFFF"/>
        <w:sz w:val="22"/>
      </w:rPr>
      <w:tcPr>
        <w:shd w:val="clear" w:color="4472C4" w:themeColor="accent5" w:fill="4472C4" w:themeFill="accent5"/>
      </w:tcPr>
    </w:tblStylePr>
    <w:tblStylePr w:type="band1Vert">
      <w:tcPr>
        <w:shd w:val="clear" w:color="A9BEE3" w:themeColor="accent5" w:themeTint="75" w:fill="A9BEE3" w:themeFill="accent5" w:themeFillTint="75"/>
      </w:tcPr>
    </w:tblStylePr>
    <w:tblStylePr w:type="band1Horz">
      <w:tcPr>
        <w:shd w:val="clear" w:color="A9BEE3" w:themeColor="accent5" w:themeTint="75" w:fill="A9BEE3" w:themeFill="accent5" w:themeFillTint="75"/>
      </w:tcPr>
    </w:tblStylePr>
  </w:style>
  <w:style w:type="table" w:customStyle="1" w:styleId="116">
    <w:name w:val="Grid Table 5 Dark - Accent 61"/>
    <w:basedOn w:val="38"/>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tcBorders>
          <w:top w:val="single" w:color="FFFFFF" w:themeColor="light1" w:sz="4" w:space="0"/>
        </w:tcBorders>
        <w:shd w:val="clear" w:color="70AD47" w:themeColor="accent6" w:fill="70AD47" w:themeFill="accent6"/>
      </w:tcPr>
    </w:tblStylePr>
    <w:tblStylePr w:type="firstCol">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band1Vert">
      <w:tcPr>
        <w:shd w:val="clear" w:color="BCDBA8" w:themeColor="accent6" w:themeTint="75" w:fill="BCDBA8" w:themeFill="accent6" w:themeFillTint="75"/>
      </w:tcPr>
    </w:tblStylePr>
    <w:tblStylePr w:type="band1Horz">
      <w:tcPr>
        <w:shd w:val="clear" w:color="BCDBA8" w:themeColor="accent6" w:themeTint="75" w:fill="BCDBA8" w:themeFill="accent6" w:themeFillTint="75"/>
      </w:tcPr>
    </w:tblStylePr>
  </w:style>
  <w:style w:type="table" w:customStyle="1" w:styleId="117">
    <w:name w:val="Сітка таблиці 6 (кольорова)1"/>
    <w:basedOn w:val="38"/>
    <w:qFormat/>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18">
    <w:name w:val="Grid Table 6 Colorful - Accent 11"/>
    <w:basedOn w:val="38"/>
    <w:qFormat/>
    <w:uiPriority w:val="99"/>
    <w:pPr>
      <w:spacing w:after="0" w:line="240" w:lineRule="auto"/>
    </w:pPr>
    <w:tblPr>
      <w:tblBorders>
        <w:top w:val="single" w:color="ACCCE9" w:themeColor="accent1" w:themeTint="80" w:sz="4" w:space="0"/>
        <w:left w:val="single" w:color="ACCCE9" w:themeColor="accent1" w:themeTint="80" w:sz="4" w:space="0"/>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firstRow">
      <w:rPr>
        <w:b/>
        <w:color w:val="ADCDEA" w:themeColor="accent1" w:themeTint="80"/>
        <w14:textFill>
          <w14:solidFill>
            <w14:schemeClr w14:val="accent1">
              <w14:lumMod w14:val="50000"/>
              <w14:lumOff w14:val="50000"/>
            </w14:schemeClr>
          </w14:solidFill>
        </w14:textFill>
      </w:rPr>
      <w:tcPr>
        <w:tcBorders>
          <w:bottom w:val="single" w:color="ACCCE9" w:themeColor="accent1" w:themeTint="80" w:sz="12" w:space="0"/>
        </w:tcBorders>
      </w:tcPr>
    </w:tblStylePr>
    <w:tblStylePr w:type="lastRow">
      <w:rPr>
        <w:b/>
        <w:color w:val="ADCDEA" w:themeColor="accent1" w:themeTint="80"/>
        <w14:textFill>
          <w14:solidFill>
            <w14:schemeClr w14:val="accent1">
              <w14:lumMod w14:val="50000"/>
              <w14:lumOff w14:val="50000"/>
            </w14:schemeClr>
          </w14:solidFill>
        </w14:textFill>
      </w:rPr>
    </w:tblStylePr>
    <w:tblStylePr w:type="firstCol">
      <w:rPr>
        <w:b/>
        <w:color w:val="ADCDEA" w:themeColor="accent1" w:themeTint="80"/>
        <w14:textFill>
          <w14:solidFill>
            <w14:schemeClr w14:val="accent1">
              <w14:lumMod w14:val="50000"/>
              <w14:lumOff w14:val="50000"/>
            </w14:schemeClr>
          </w14:solidFill>
        </w14:textFill>
      </w:rPr>
    </w:tblStylePr>
    <w:tblStylePr w:type="lastCol">
      <w:rPr>
        <w:b/>
        <w:color w:val="ADCDEA" w:themeColor="accent1" w:themeTint="80"/>
        <w14:textFill>
          <w14:solidFill>
            <w14:schemeClr w14:val="accent1">
              <w14:lumMod w14:val="50000"/>
              <w14:lumOff w14:val="50000"/>
            </w14:schemeClr>
          </w14:solidFill>
        </w14:textFill>
      </w:rPr>
    </w:tblStylePr>
    <w:tblStylePr w:type="band1Vert">
      <w:tcPr>
        <w:shd w:val="clear" w:color="DDEAF6" w:themeColor="accent1" w:themeTint="34"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DDEAF6" w:themeColor="accent1" w:themeTint="34"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119">
    <w:name w:val="Grid Table 6 Colorful - Accent 21"/>
    <w:basedOn w:val="38"/>
    <w:qFormat/>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12" w:space="0"/>
        </w:tcBorders>
      </w:tcPr>
    </w:tblStylePr>
    <w:tblStylePr w:type="lastRow">
      <w:rPr>
        <w:b/>
        <w:color w:val="F4B285" w:themeColor="accent2" w:themeTint="96"/>
        <w14:textFill>
          <w14:solidFill>
            <w14:schemeClr w14:val="accent2">
              <w14:lumMod w14:val="59000"/>
              <w14:lumOff w14:val="41000"/>
            </w14:schemeClr>
          </w14:solidFill>
        </w14:textFill>
      </w:r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BE5D6" w:themeColor="accent2" w:themeTint="32"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20">
    <w:name w:val="Grid Table 6 Colorful - Accent 31"/>
    <w:basedOn w:val="38"/>
    <w:qFormat/>
    <w:uiPriority w:val="99"/>
    <w:pPr>
      <w:spacing w:after="0" w:line="240" w:lineRule="auto"/>
    </w:pPr>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14:textFill>
          <w14:solidFill>
            <w14:schemeClr w14:val="accent3"/>
          </w14:solidFill>
        </w14:textFill>
      </w:rPr>
      <w:tcPr>
        <w:tcBorders>
          <w:bottom w:val="single" w:color="A5A5A5" w:themeColor="accent3" w:themeTint="FE" w:sz="12" w:space="0"/>
        </w:tcBorders>
      </w:tcPr>
    </w:tblStylePr>
    <w:tblStylePr w:type="lastRow">
      <w:rPr>
        <w:b/>
        <w:color w:val="A5A5A5" w:themeColor="accent3"/>
        <w14:textFill>
          <w14:solidFill>
            <w14:schemeClr w14:val="accent3"/>
          </w14:solidFill>
        </w14:textFill>
      </w:rPr>
    </w:tblStylePr>
    <w:tblStylePr w:type="firstCol">
      <w:rPr>
        <w:b/>
        <w:color w:val="A5A5A5" w:themeColor="accent3"/>
        <w14:textFill>
          <w14:solidFill>
            <w14:schemeClr w14:val="accent3"/>
          </w14:solidFill>
        </w14:textFill>
      </w:rPr>
    </w:tblStylePr>
    <w:tblStylePr w:type="lastCol">
      <w:rPr>
        <w:b/>
        <w:color w:val="A5A5A5" w:themeColor="accent3"/>
        <w14:textFill>
          <w14:solidFill>
            <w14:schemeClr w14:val="accent3"/>
          </w14:solidFill>
        </w14:textFill>
      </w:rPr>
    </w:tblStylePr>
    <w:tblStylePr w:type="band1Vert">
      <w:tcPr>
        <w:shd w:val="clear" w:color="ECECEC" w:themeColor="accent3" w:themeTint="34" w:fill="ECECEC" w:themeFill="accent3" w:themeFillTint="34"/>
      </w:tcPr>
    </w:tblStylePr>
    <w:tblStylePr w:type="band1Horz">
      <w:rPr>
        <w:rFonts w:ascii="Arial" w:hAnsi="Arial"/>
        <w:color w:val="A5A5A5" w:themeColor="accent3"/>
        <w:sz w:val="22"/>
        <w14:textFill>
          <w14:solidFill>
            <w14:schemeClr w14:val="accent3"/>
          </w14:solidFill>
        </w14:textFill>
      </w:rPr>
      <w:tcPr>
        <w:shd w:val="clear" w:color="ECECEC" w:themeColor="accent3" w:themeTint="34" w:fill="ECECEC" w:themeFill="accent3" w:themeFillTint="34"/>
      </w:tcPr>
    </w:tblStylePr>
    <w:tblStylePr w:type="band2Horz">
      <w:rPr>
        <w:rFonts w:ascii="Arial" w:hAnsi="Arial"/>
        <w:color w:val="A5A5A5" w:themeColor="accent3"/>
        <w:sz w:val="22"/>
        <w14:textFill>
          <w14:solidFill>
            <w14:schemeClr w14:val="accent3"/>
          </w14:solidFill>
        </w14:textFill>
      </w:rPr>
    </w:tblStylePr>
  </w:style>
  <w:style w:type="table" w:customStyle="1" w:styleId="121">
    <w:name w:val="Grid Table 6 Colorful - Accent 41"/>
    <w:basedOn w:val="38"/>
    <w:qFormat/>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12" w:space="0"/>
        </w:tcBorders>
      </w:tcPr>
    </w:tblStylePr>
    <w:tblStylePr w:type="lastRow">
      <w:rPr>
        <w:b/>
        <w:color w:val="FFD966" w:themeColor="accent4" w:themeTint="99"/>
        <w14:textFill>
          <w14:solidFill>
            <w14:schemeClr w14:val="accent4">
              <w14:lumMod w14:val="60000"/>
              <w14:lumOff w14:val="40000"/>
            </w14:schemeClr>
          </w14:solidFill>
        </w14:textFill>
      </w:r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EF2CA" w:themeColor="accent4" w:themeTint="34"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22">
    <w:name w:val="Grid Table 6 Colorful - Accent 51"/>
    <w:basedOn w:val="38"/>
    <w:qFormat/>
    <w:uiPriority w:val="99"/>
    <w:pPr>
      <w:spacing w:after="0" w:line="240" w:lineRule="auto"/>
    </w:pPr>
    <w:tblPr>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val="254174" w:themeColor="accent5" w:themeShade="94"/>
      </w:rPr>
      <w:tcPr>
        <w:tcBorders>
          <w:bottom w:val="single" w:color="4472C4" w:themeColor="accent5"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D8E2F2" w:themeColor="accent5" w:themeTint="34" w:fill="D8E2F2" w:themeFill="accent5" w:themeFillTint="34"/>
      </w:tcPr>
    </w:tblStylePr>
    <w:tblStylePr w:type="band1Horz">
      <w:rPr>
        <w:rFonts w:ascii="Arial" w:hAnsi="Arial"/>
        <w:color w:val="254174" w:themeColor="accent5" w:themeShade="94"/>
        <w:sz w:val="22"/>
      </w:rPr>
      <w:tcPr>
        <w:shd w:val="clear" w:color="D8E2F2" w:themeColor="accent5" w:themeTint="34" w:fill="D8E2F2" w:themeFill="accent5" w:themeFillTint="34"/>
      </w:tcPr>
    </w:tblStylePr>
    <w:tblStylePr w:type="band2Horz">
      <w:rPr>
        <w:rFonts w:ascii="Arial" w:hAnsi="Arial"/>
        <w:color w:val="254174" w:themeColor="accent5" w:themeShade="94"/>
        <w:sz w:val="22"/>
      </w:rPr>
    </w:tblStylePr>
  </w:style>
  <w:style w:type="table" w:customStyle="1" w:styleId="123">
    <w:name w:val="Grid Table 6 Colorful - Accent 61"/>
    <w:basedOn w:val="38"/>
    <w:qFormat/>
    <w:uiPriority w:val="99"/>
    <w:pPr>
      <w:spacing w:after="0" w:line="240" w:lineRule="auto"/>
    </w:pPr>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54174" w:themeColor="accent5" w:themeShade="94"/>
      </w:rPr>
      <w:tcPr>
        <w:tcBorders>
          <w:bottom w:val="single" w:color="70AD47" w:themeColor="accent6"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E1EFD8" w:themeColor="accent6" w:themeTint="34" w:fill="E1EFD8" w:themeFill="accent6" w:themeFillTint="34"/>
      </w:tcPr>
    </w:tblStylePr>
    <w:tblStylePr w:type="band1Horz">
      <w:rPr>
        <w:rFonts w:ascii="Arial" w:hAnsi="Arial"/>
        <w:color w:val="254174" w:themeColor="accent5" w:themeShade="94"/>
        <w:sz w:val="22"/>
      </w:rPr>
      <w:tcPr>
        <w:shd w:val="clear" w:color="E1EFD8" w:themeColor="accent6" w:themeTint="34" w:fill="E1EFD8" w:themeFill="accent6" w:themeFillTint="34"/>
      </w:tcPr>
    </w:tblStylePr>
    <w:tblStylePr w:type="band2Horz">
      <w:rPr>
        <w:rFonts w:ascii="Arial" w:hAnsi="Arial"/>
        <w:color w:val="254174" w:themeColor="accent5" w:themeShade="94"/>
        <w:sz w:val="22"/>
      </w:rPr>
    </w:tblStylePr>
  </w:style>
  <w:style w:type="table" w:customStyle="1" w:styleId="124">
    <w:name w:val="Сітка таблиці 7 (кольорова)1"/>
    <w:basedOn w:val="38"/>
    <w:qFormat/>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25">
    <w:name w:val="Grid Table 7 Colorful - Accent 11"/>
    <w:basedOn w:val="38"/>
    <w:qFormat/>
    <w:uiPriority w:val="99"/>
    <w:pPr>
      <w:spacing w:after="0" w:line="240" w:lineRule="auto"/>
    </w:pPr>
    <w:tblPr>
      <w:tblBorders>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firstRow">
      <w:rPr>
        <w:rFonts w:ascii="Arial" w:hAnsi="Arial"/>
        <w:b/>
        <w:color w:val="ADCDEA" w:themeColor="accent1" w:themeTint="80"/>
        <w:sz w:val="22"/>
        <w14:textFill>
          <w14:solidFill>
            <w14:schemeClr w14:val="accent1">
              <w14:lumMod w14:val="50000"/>
              <w14:lumOff w14:val="50000"/>
            </w14:schemeClr>
          </w14:solidFill>
        </w14:textFill>
      </w:rPr>
      <w:tcPr>
        <w:tcBorders>
          <w:top w:val="nil"/>
          <w:left w:val="nil"/>
          <w:bottom w:val="single" w:color="ACCCE9" w:themeColor="accent1" w:themeTint="80" w:sz="4" w:space="0"/>
          <w:right w:val="nil"/>
        </w:tcBorders>
        <w:shd w:val="clear" w:color="FFFFFF" w:themeColor="light1" w:fill="FFFFFF" w:themeFill="light1"/>
      </w:tcPr>
    </w:tblStylePr>
    <w:tblStylePr w:type="lastRow">
      <w:rPr>
        <w:rFonts w:ascii="Arial" w:hAnsi="Arial"/>
        <w:b/>
        <w:color w:val="ADCDEA" w:themeColor="accent1" w:themeTint="80"/>
        <w:sz w:val="22"/>
        <w14:textFill>
          <w14:solidFill>
            <w14:schemeClr w14:val="accent1">
              <w14:lumMod w14:val="50000"/>
              <w14:lumOff w14:val="50000"/>
            </w14:schemeClr>
          </w14:solidFill>
        </w14:textFill>
      </w:rPr>
      <w:tcPr>
        <w:tcBorders>
          <w:top w:val="single" w:color="ACCCE9"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nil"/>
          <w:bottom w:val="nil"/>
          <w:right w:val="single" w:color="ACCCE9" w:themeColor="accent1" w:themeTint="80" w:sz="4" w:space="0"/>
        </w:tcBorders>
        <w:shd w:val="clear" w:color="FFFFFF" w:fill="auto"/>
      </w:tcPr>
    </w:tblStylePr>
    <w:tblStylePr w:type="lastCol">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single" w:color="ACCCE9" w:themeColor="accent1" w:themeTint="80" w:sz="4" w:space="0"/>
          <w:bottom w:val="nil"/>
          <w:right w:val="nil"/>
        </w:tcBorders>
        <w:shd w:val="clear" w:color="FFFFFF" w:fill="auto"/>
      </w:tcPr>
    </w:tblStylePr>
    <w:tblStylePr w:type="band1Vert">
      <w:tcPr>
        <w:shd w:val="clear" w:color="DDEAF6" w:themeColor="accent1" w:themeTint="34"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DDEAF6" w:themeColor="accent1" w:themeTint="34"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126">
    <w:name w:val="Grid Table 7 Colorful - Accent 21"/>
    <w:basedOn w:val="38"/>
    <w:qFormat/>
    <w:uiPriority w:val="99"/>
    <w:pPr>
      <w:spacing w:after="0" w:line="240" w:lineRule="auto"/>
    </w:pPr>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rFonts w:ascii="Arial" w:hAnsi="Arial"/>
        <w:b/>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BE5D6" w:themeColor="accent2" w:themeTint="32"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27">
    <w:name w:val="Grid Table 7 Colorful - Accent 31"/>
    <w:basedOn w:val="38"/>
    <w:qFormat/>
    <w:uiPriority w:val="99"/>
    <w:pPr>
      <w:spacing w:after="0" w:line="240" w:lineRule="auto"/>
    </w:pPr>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rFonts w:ascii="Arial" w:hAnsi="Arial"/>
        <w:b/>
        <w:color w:val="A5A5A5" w:themeColor="accent3"/>
        <w:sz w:val="22"/>
        <w14:textFill>
          <w14:solidFill>
            <w14:schemeClr w14:val="accent3"/>
          </w14:solidFill>
        </w14:textFill>
      </w:rPr>
      <w:tcPr>
        <w:tcBorders>
          <w:top w:val="nil"/>
          <w:left w:val="nil"/>
          <w:bottom w:val="single" w:color="A5A5A5" w:themeColor="accent3" w:themeTint="FE" w:sz="4" w:space="0"/>
          <w:right w:val="nil"/>
        </w:tcBorders>
        <w:shd w:val="clear" w:color="FFFFFF" w:themeColor="light1" w:fill="FFFFFF" w:themeFill="light1"/>
      </w:tcPr>
    </w:tblStylePr>
    <w:tblStylePr w:type="lastRow">
      <w:rPr>
        <w:rFonts w:ascii="Arial" w:hAnsi="Arial"/>
        <w:b/>
        <w:color w:val="A5A5A5" w:themeColor="accent3"/>
        <w:sz w:val="22"/>
        <w14:textFill>
          <w14:solidFill>
            <w14:schemeClr w14:val="accent3"/>
          </w14:solidFill>
        </w14:textFill>
      </w:rPr>
      <w:tcPr>
        <w:tcBorders>
          <w:top w:val="single" w:color="A5A5A5"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A5A5A5" w:themeColor="accent3"/>
        <w:sz w:val="22"/>
        <w14:textFill>
          <w14:solidFill>
            <w14:schemeClr w14:val="accent3"/>
          </w14:solidFill>
        </w14:textFill>
      </w:rPr>
      <w:tcPr>
        <w:tcBorders>
          <w:top w:val="nil"/>
          <w:left w:val="nil"/>
          <w:bottom w:val="nil"/>
          <w:right w:val="single" w:color="A5A5A5" w:themeColor="accent3" w:themeTint="FE" w:sz="4" w:space="0"/>
        </w:tcBorders>
        <w:shd w:val="clear" w:color="FFFFFF" w:fill="auto"/>
      </w:tcPr>
    </w:tblStylePr>
    <w:tblStylePr w:type="lastCol">
      <w:rPr>
        <w:rFonts w:ascii="Arial" w:hAnsi="Arial"/>
        <w:i/>
        <w:color w:val="A5A5A5" w:themeColor="accent3"/>
        <w:sz w:val="22"/>
        <w14:textFill>
          <w14:solidFill>
            <w14:schemeClr w14:val="accent3"/>
          </w14:solidFill>
        </w14:textFill>
      </w:rPr>
      <w:tcPr>
        <w:tcBorders>
          <w:top w:val="nil"/>
          <w:left w:val="single" w:color="A5A5A5" w:themeColor="accent3" w:themeTint="FE" w:sz="4" w:space="0"/>
          <w:bottom w:val="nil"/>
          <w:right w:val="nil"/>
        </w:tcBorders>
        <w:shd w:val="clear" w:color="FFFFFF" w:fill="auto"/>
      </w:tcPr>
    </w:tblStylePr>
    <w:tblStylePr w:type="band1Vert">
      <w:tcPr>
        <w:shd w:val="clear" w:color="ECECEC" w:themeColor="accent3" w:themeTint="34" w:fill="ECECEC" w:themeFill="accent3" w:themeFillTint="34"/>
      </w:tcPr>
    </w:tblStylePr>
    <w:tblStylePr w:type="band1Horz">
      <w:rPr>
        <w:rFonts w:ascii="Arial" w:hAnsi="Arial"/>
        <w:color w:val="A5A5A5" w:themeColor="accent3"/>
        <w:sz w:val="22"/>
        <w14:textFill>
          <w14:solidFill>
            <w14:schemeClr w14:val="accent3"/>
          </w14:solidFill>
        </w14:textFill>
      </w:rPr>
      <w:tcPr>
        <w:shd w:val="clear" w:color="ECECEC" w:themeColor="accent3" w:themeTint="34" w:fill="ECECEC" w:themeFill="accent3" w:themeFillTint="34"/>
      </w:tcPr>
    </w:tblStylePr>
    <w:tblStylePr w:type="band2Horz">
      <w:rPr>
        <w:rFonts w:ascii="Arial" w:hAnsi="Arial"/>
        <w:color w:val="A5A5A5" w:themeColor="accent3"/>
        <w:sz w:val="22"/>
        <w14:textFill>
          <w14:solidFill>
            <w14:schemeClr w14:val="accent3"/>
          </w14:solidFill>
        </w14:textFill>
      </w:rPr>
    </w:tblStylePr>
  </w:style>
  <w:style w:type="table" w:customStyle="1" w:styleId="128">
    <w:name w:val="Grid Table 7 Colorful - Accent 41"/>
    <w:basedOn w:val="38"/>
    <w:qFormat/>
    <w:uiPriority w:val="99"/>
    <w:pPr>
      <w:spacing w:after="0" w:line="240" w:lineRule="auto"/>
    </w:pPr>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rFonts w:ascii="Arial" w:hAnsi="Arial"/>
        <w:b/>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EF2CA" w:themeColor="accent4" w:themeTint="34"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29">
    <w:name w:val="Grid Table 7 Colorful - Accent 51"/>
    <w:basedOn w:val="38"/>
    <w:qFormat/>
    <w:uiPriority w:val="99"/>
    <w:pPr>
      <w:spacing w:after="0" w:line="240" w:lineRule="auto"/>
    </w:pPr>
    <w:tblPr>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rFonts w:ascii="Arial" w:hAnsi="Arial"/>
        <w:b/>
        <w:color w:val="254174" w:themeColor="accent5" w:themeShade="94"/>
        <w:sz w:val="22"/>
      </w:rPr>
      <w:tcPr>
        <w:tcBorders>
          <w:top w:val="nil"/>
          <w:left w:val="nil"/>
          <w:bottom w:val="single" w:color="95AFDD" w:themeColor="accent5" w:themeTint="90" w:sz="4" w:space="0"/>
          <w:right w:val="nil"/>
        </w:tcBorders>
        <w:shd w:val="clear" w:color="FFFFFF" w:themeColor="light1" w:fill="FFFFFF" w:themeFill="light1"/>
      </w:tcPr>
    </w:tblStylePr>
    <w:tblStylePr w:type="lastRow">
      <w:rPr>
        <w:rFonts w:ascii="Arial" w:hAnsi="Arial"/>
        <w:b/>
        <w:color w:val="254174" w:themeColor="accent5" w:themeShade="94"/>
        <w:sz w:val="22"/>
      </w:rPr>
      <w:tcPr>
        <w:tcBorders>
          <w:top w:val="single" w:color="95AFDD"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54174" w:themeColor="accent5" w:themeShade="94"/>
        <w:sz w:val="22"/>
      </w:rPr>
      <w:tcPr>
        <w:tcBorders>
          <w:top w:val="nil"/>
          <w:left w:val="nil"/>
          <w:bottom w:val="nil"/>
          <w:right w:val="single" w:color="95AFDD" w:themeColor="accent5" w:themeTint="90" w:sz="4" w:space="0"/>
        </w:tcBorders>
        <w:shd w:val="clear" w:color="FFFFFF" w:fill="auto"/>
      </w:tcPr>
    </w:tblStylePr>
    <w:tblStylePr w:type="lastCol">
      <w:rPr>
        <w:rFonts w:ascii="Arial" w:hAnsi="Arial"/>
        <w:i/>
        <w:color w:val="254174" w:themeColor="accent5" w:themeShade="94"/>
        <w:sz w:val="22"/>
      </w:rPr>
      <w:tcPr>
        <w:tcBorders>
          <w:top w:val="nil"/>
          <w:left w:val="single" w:color="95AFDD" w:themeColor="accent5" w:themeTint="90" w:sz="4" w:space="0"/>
          <w:bottom w:val="nil"/>
          <w:right w:val="nil"/>
        </w:tcBorders>
        <w:shd w:val="clear" w:color="FFFFFF" w:fill="auto"/>
      </w:tcPr>
    </w:tblStylePr>
    <w:tblStylePr w:type="band1Vert">
      <w:tcPr>
        <w:shd w:val="clear" w:color="D8E2F2" w:themeColor="accent5" w:themeTint="34" w:fill="D8E2F2" w:themeFill="accent5" w:themeFillTint="34"/>
      </w:tcPr>
    </w:tblStylePr>
    <w:tblStylePr w:type="band1Horz">
      <w:rPr>
        <w:rFonts w:ascii="Arial" w:hAnsi="Arial"/>
        <w:color w:val="254174" w:themeColor="accent5" w:themeShade="94"/>
        <w:sz w:val="22"/>
      </w:rPr>
      <w:tcPr>
        <w:shd w:val="clear" w:color="D8E2F2" w:themeColor="accent5" w:themeTint="34" w:fill="D8E2F2" w:themeFill="accent5" w:themeFillTint="34"/>
      </w:tcPr>
    </w:tblStylePr>
    <w:tblStylePr w:type="band2Horz">
      <w:rPr>
        <w:rFonts w:ascii="Arial" w:hAnsi="Arial"/>
        <w:color w:val="254174" w:themeColor="accent5" w:themeShade="94"/>
        <w:sz w:val="22"/>
      </w:rPr>
    </w:tblStylePr>
  </w:style>
  <w:style w:type="table" w:customStyle="1" w:styleId="130">
    <w:name w:val="Grid Table 7 Colorful - Accent 61"/>
    <w:basedOn w:val="38"/>
    <w:qFormat/>
    <w:uiPriority w:val="99"/>
    <w:pPr>
      <w:spacing w:after="0" w:line="240" w:lineRule="auto"/>
    </w:pPr>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416429" w:themeColor="accent6" w:themeShade="94"/>
        <w:sz w:val="22"/>
      </w:rPr>
      <w:tcPr>
        <w:tcBorders>
          <w:top w:val="nil"/>
          <w:left w:val="nil"/>
          <w:bottom w:val="single" w:color="ADD394" w:themeColor="accent6" w:themeTint="90" w:sz="4" w:space="0"/>
          <w:right w:val="nil"/>
        </w:tcBorders>
        <w:shd w:val="clear" w:color="FFFFFF" w:themeColor="light1" w:fill="FFFFFF" w:themeFill="light1"/>
      </w:tcPr>
    </w:tblStylePr>
    <w:tblStylePr w:type="lastRow">
      <w:rPr>
        <w:rFonts w:ascii="Arial" w:hAnsi="Arial"/>
        <w:b/>
        <w:color w:val="416429" w:themeColor="accent6" w:themeShade="94"/>
        <w:sz w:val="22"/>
      </w:rPr>
      <w:tcPr>
        <w:tcBorders>
          <w:top w:val="single" w:color="ADD394"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416429" w:themeColor="accent6" w:themeShade="94"/>
        <w:sz w:val="22"/>
      </w:rPr>
      <w:tcPr>
        <w:tcBorders>
          <w:top w:val="nil"/>
          <w:left w:val="nil"/>
          <w:bottom w:val="nil"/>
          <w:right w:val="single" w:color="ADD394" w:themeColor="accent6" w:themeTint="90" w:sz="4" w:space="0"/>
        </w:tcBorders>
        <w:shd w:val="clear" w:color="FFFFFF" w:fill="auto"/>
      </w:tcPr>
    </w:tblStylePr>
    <w:tblStylePr w:type="lastCol">
      <w:rPr>
        <w:rFonts w:ascii="Arial" w:hAnsi="Arial"/>
        <w:i/>
        <w:color w:val="416429" w:themeColor="accent6" w:themeShade="94"/>
        <w:sz w:val="22"/>
      </w:rPr>
      <w:tcPr>
        <w:tcBorders>
          <w:top w:val="nil"/>
          <w:left w:val="single" w:color="ADD394" w:themeColor="accent6" w:themeTint="90" w:sz="4" w:space="0"/>
          <w:bottom w:val="nil"/>
          <w:right w:val="nil"/>
        </w:tcBorders>
        <w:shd w:val="clear" w:color="FFFFFF" w:fill="auto"/>
      </w:tcPr>
    </w:tblStylePr>
    <w:tblStylePr w:type="band1Vert">
      <w:tcPr>
        <w:shd w:val="clear" w:color="E1EFD8" w:themeColor="accent6" w:themeTint="34" w:fill="E1EFD8" w:themeFill="accent6" w:themeFillTint="34"/>
      </w:tcPr>
    </w:tblStylePr>
    <w:tblStylePr w:type="band1Horz">
      <w:rPr>
        <w:rFonts w:ascii="Arial" w:hAnsi="Arial"/>
        <w:color w:val="416429" w:themeColor="accent6" w:themeShade="94"/>
        <w:sz w:val="22"/>
      </w:rPr>
      <w:tcPr>
        <w:shd w:val="clear" w:color="E1EFD8" w:themeColor="accent6" w:themeTint="34" w:fill="E1EFD8" w:themeFill="accent6" w:themeFillTint="34"/>
      </w:tcPr>
    </w:tblStylePr>
    <w:tblStylePr w:type="band2Horz">
      <w:rPr>
        <w:rFonts w:ascii="Arial" w:hAnsi="Arial"/>
        <w:color w:val="416429" w:themeColor="accent6" w:themeShade="94"/>
        <w:sz w:val="22"/>
      </w:rPr>
    </w:tblStylePr>
  </w:style>
  <w:style w:type="table" w:customStyle="1" w:styleId="131">
    <w:name w:val="Список таблиці 1 (світлий)1"/>
    <w:basedOn w:val="38"/>
    <w:qFormat/>
    <w:uiPriority w:val="99"/>
    <w:pPr>
      <w:spacing w:after="0" w:line="240" w:lineRule="auto"/>
    </w:p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32">
    <w:name w:val="List Table 1 Light - Accent 11"/>
    <w:basedOn w:val="38"/>
    <w:qFormat/>
    <w:uiPriority w:val="99"/>
    <w:pPr>
      <w:spacing w:after="0" w:line="240" w:lineRule="auto"/>
    </w:pPr>
    <w:tblStylePr w:type="firstRow">
      <w:rPr>
        <w:b/>
        <w:color w:val="404040"/>
      </w:rPr>
      <w:tcPr>
        <w:tcBorders>
          <w:top w:val="nil"/>
          <w:left w:val="nil"/>
          <w:bottom w:val="single" w:color="5B9BD5" w:themeColor="accent1" w:sz="4" w:space="0"/>
          <w:right w:val="nil"/>
        </w:tcBorders>
      </w:tcPr>
    </w:tblStylePr>
    <w:tblStylePr w:type="lastRow">
      <w:rPr>
        <w:b/>
        <w:color w:val="404040"/>
      </w:rPr>
      <w:tcPr>
        <w:tcBorders>
          <w:top w:val="single" w:color="5B9BD5"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5E5F4" w:themeColor="accent1" w:themeTint="40" w:fill="D5E5F4" w:themeFill="accent1" w:themeFillTint="40"/>
      </w:tcPr>
    </w:tblStylePr>
    <w:tblStylePr w:type="band1Horz">
      <w:tcPr>
        <w:shd w:val="clear" w:color="D5E5F4" w:themeColor="accent1" w:themeTint="40" w:fill="D5E5F4" w:themeFill="accent1" w:themeFillTint="40"/>
      </w:tcPr>
    </w:tblStylePr>
  </w:style>
  <w:style w:type="table" w:customStyle="1" w:styleId="133">
    <w:name w:val="List Table 1 Light - Accent 21"/>
    <w:basedOn w:val="38"/>
    <w:qFormat/>
    <w:uiPriority w:val="99"/>
    <w:pPr>
      <w:spacing w:after="0" w:line="240" w:lineRule="auto"/>
    </w:pPr>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ADECB" w:themeColor="accent2" w:themeTint="40" w:fill="FADECB" w:themeFill="accent2" w:themeFillTint="40"/>
      </w:tcPr>
    </w:tblStylePr>
    <w:tblStylePr w:type="band1Horz">
      <w:tcPr>
        <w:shd w:val="clear" w:color="FADECB" w:themeColor="accent2" w:themeTint="40" w:fill="FADECB" w:themeFill="accent2" w:themeFillTint="40"/>
      </w:tcPr>
    </w:tblStylePr>
  </w:style>
  <w:style w:type="table" w:customStyle="1" w:styleId="134">
    <w:name w:val="List Table 1 Light - Accent 31"/>
    <w:basedOn w:val="38"/>
    <w:qFormat/>
    <w:uiPriority w:val="99"/>
    <w:pPr>
      <w:spacing w:after="0" w:line="240" w:lineRule="auto"/>
    </w:pPr>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8E8E8" w:themeColor="accent3" w:themeTint="40" w:fill="E8E8E8" w:themeFill="accent3" w:themeFillTint="40"/>
      </w:tcPr>
    </w:tblStylePr>
    <w:tblStylePr w:type="band1Horz">
      <w:tcPr>
        <w:shd w:val="clear" w:color="E8E8E8" w:themeColor="accent3" w:themeTint="40" w:fill="E8E8E8" w:themeFill="accent3" w:themeFillTint="40"/>
      </w:tcPr>
    </w:tblStylePr>
  </w:style>
  <w:style w:type="table" w:customStyle="1" w:styleId="135">
    <w:name w:val="List Table 1 Light - Accent 41"/>
    <w:basedOn w:val="38"/>
    <w:qFormat/>
    <w:uiPriority w:val="99"/>
    <w:pPr>
      <w:spacing w:after="0" w:line="240" w:lineRule="auto"/>
    </w:pPr>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EFBE" w:themeColor="accent4" w:themeTint="40" w:fill="FFEFBE" w:themeFill="accent4" w:themeFillTint="40"/>
      </w:tcPr>
    </w:tblStylePr>
    <w:tblStylePr w:type="band1Horz">
      <w:tcPr>
        <w:shd w:val="clear" w:color="FFEFBE" w:themeColor="accent4" w:themeTint="40" w:fill="FFEFBE" w:themeFill="accent4" w:themeFillTint="40"/>
      </w:tcPr>
    </w:tblStylePr>
  </w:style>
  <w:style w:type="table" w:customStyle="1" w:styleId="136">
    <w:name w:val="List Table 1 Light - Accent 51"/>
    <w:basedOn w:val="38"/>
    <w:qFormat/>
    <w:uiPriority w:val="99"/>
    <w:pPr>
      <w:spacing w:after="0" w:line="240" w:lineRule="auto"/>
    </w:pPr>
    <w:tblStylePr w:type="firstRow">
      <w:rPr>
        <w:b/>
        <w:color w:val="404040"/>
      </w:rPr>
      <w:tcPr>
        <w:tcBorders>
          <w:top w:val="nil"/>
          <w:left w:val="nil"/>
          <w:bottom w:val="single" w:color="4472C4" w:themeColor="accent5" w:sz="4" w:space="0"/>
          <w:right w:val="nil"/>
        </w:tcBorders>
      </w:tcPr>
    </w:tblStylePr>
    <w:tblStylePr w:type="lastRow">
      <w:rPr>
        <w:b/>
        <w:color w:val="404040"/>
      </w:rPr>
      <w:tcPr>
        <w:tcBorders>
          <w:top w:val="single" w:color="4472C4"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0DBF0" w:themeColor="accent5" w:themeTint="40" w:fill="D0DBF0" w:themeFill="accent5" w:themeFillTint="40"/>
      </w:tcPr>
    </w:tblStylePr>
    <w:tblStylePr w:type="band1Horz">
      <w:tcPr>
        <w:shd w:val="clear" w:color="D0DBF0" w:themeColor="accent5" w:themeTint="40" w:fill="D0DBF0" w:themeFill="accent5" w:themeFillTint="40"/>
      </w:tcPr>
    </w:tblStylePr>
  </w:style>
  <w:style w:type="table" w:customStyle="1" w:styleId="137">
    <w:name w:val="List Table 1 Light - Accent 61"/>
    <w:basedOn w:val="38"/>
    <w:qFormat/>
    <w:uiPriority w:val="99"/>
    <w:pPr>
      <w:spacing w:after="0" w:line="240" w:lineRule="auto"/>
    </w:pPr>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AEBCF" w:themeColor="accent6" w:themeTint="40" w:fill="DAEBCF" w:themeFill="accent6" w:themeFillTint="40"/>
      </w:tcPr>
    </w:tblStylePr>
    <w:tblStylePr w:type="band1Horz">
      <w:tcPr>
        <w:shd w:val="clear" w:color="DAEBCF" w:themeColor="accent6" w:themeTint="40" w:fill="DAEBCF" w:themeFill="accent6" w:themeFillTint="40"/>
      </w:tcPr>
    </w:tblStylePr>
  </w:style>
  <w:style w:type="table" w:customStyle="1" w:styleId="138">
    <w:name w:val="Список таблиці 21"/>
    <w:basedOn w:val="38"/>
    <w:qFormat/>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39">
    <w:name w:val="List Table 2 - Accent 11"/>
    <w:basedOn w:val="38"/>
    <w:qFormat/>
    <w:uiPriority w:val="99"/>
    <w:pPr>
      <w:spacing w:after="0" w:line="240" w:lineRule="auto"/>
    </w:pPr>
    <w:tblPr>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la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5E5F4" w:themeColor="accent1" w:themeTint="40" w:fill="D5E5F4" w:themeFill="accent1" w:themeFillTint="40"/>
      </w:tcPr>
    </w:tblStylePr>
    <w:tblStylePr w:type="band1Horz">
      <w:rPr>
        <w:rFonts w:ascii="Arial" w:hAnsi="Arial"/>
        <w:color w:val="404040"/>
        <w:sz w:val="22"/>
      </w:rPr>
      <w:tcPr>
        <w:shd w:val="clear" w:color="D5E5F4" w:themeColor="accent1" w:themeTint="40" w:fill="D5E5F4" w:themeFill="accent1" w:themeFillTint="40"/>
      </w:tcPr>
    </w:tblStylePr>
  </w:style>
  <w:style w:type="table" w:customStyle="1" w:styleId="140">
    <w:name w:val="List Table 2 - Accent 21"/>
    <w:basedOn w:val="38"/>
    <w:qFormat/>
    <w:uiPriority w:val="99"/>
    <w:pPr>
      <w:spacing w:after="0" w:line="240" w:lineRule="auto"/>
    </w:pPr>
    <w:tblPr>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customStyle="1" w:styleId="141">
    <w:name w:val="List Table 2 - Accent 31"/>
    <w:basedOn w:val="38"/>
    <w:qFormat/>
    <w:uiPriority w:val="99"/>
    <w:pPr>
      <w:spacing w:after="0" w:line="240" w:lineRule="auto"/>
    </w:pPr>
    <w:tblPr>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customStyle="1" w:styleId="142">
    <w:name w:val="List Table 2 - Accent 41"/>
    <w:basedOn w:val="38"/>
    <w:qFormat/>
    <w:uiPriority w:val="99"/>
    <w:pPr>
      <w:spacing w:after="0" w:line="240" w:lineRule="auto"/>
    </w:pPr>
    <w:tblPr>
      <w:tblBorders>
        <w:top w:val="single" w:color="FFDB6E" w:themeColor="accent4" w:themeTint="90" w:sz="4" w:space="0"/>
        <w:bottom w:val="single" w:color="FFDB6E" w:themeColor="accent4" w:themeTint="90" w:sz="4" w:space="0"/>
        <w:insideH w:val="single" w:color="FFDB6E" w:themeColor="accent4" w:themeTint="90" w:sz="4" w:space="0"/>
      </w:tblBorders>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EFBE" w:themeColor="accent4" w:themeTint="40" w:fill="FFEFBE" w:themeFill="accent4" w:themeFillTint="40"/>
      </w:tcPr>
    </w:tblStylePr>
    <w:tblStylePr w:type="band1Horz">
      <w:rPr>
        <w:rFonts w:ascii="Arial" w:hAnsi="Arial"/>
        <w:color w:val="404040"/>
        <w:sz w:val="22"/>
      </w:rPr>
      <w:tcPr>
        <w:shd w:val="clear" w:color="FFEFBE" w:themeColor="accent4" w:themeTint="40" w:fill="FFEFBE" w:themeFill="accent4" w:themeFillTint="40"/>
      </w:tcPr>
    </w:tblStylePr>
  </w:style>
  <w:style w:type="table" w:customStyle="1" w:styleId="143">
    <w:name w:val="List Table 2 - Accent 51"/>
    <w:basedOn w:val="38"/>
    <w:qFormat/>
    <w:uiPriority w:val="99"/>
    <w:pPr>
      <w:spacing w:after="0" w:line="240" w:lineRule="auto"/>
    </w:pPr>
    <w:tblPr>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la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0DBF0" w:themeColor="accent5" w:themeTint="40" w:fill="D0DBF0" w:themeFill="accent5" w:themeFillTint="40"/>
      </w:tcPr>
    </w:tblStylePr>
    <w:tblStylePr w:type="band1Horz">
      <w:rPr>
        <w:rFonts w:ascii="Arial" w:hAnsi="Arial"/>
        <w:color w:val="404040"/>
        <w:sz w:val="22"/>
      </w:rPr>
      <w:tcPr>
        <w:shd w:val="clear" w:color="D0DBF0" w:themeColor="accent5" w:themeTint="40" w:fill="D0DBF0" w:themeFill="accent5" w:themeFillTint="40"/>
      </w:tcPr>
    </w:tblStylePr>
  </w:style>
  <w:style w:type="table" w:customStyle="1" w:styleId="144">
    <w:name w:val="List Table 2 - Accent 61"/>
    <w:basedOn w:val="38"/>
    <w:qFormat/>
    <w:uiPriority w:val="99"/>
    <w:pPr>
      <w:spacing w:after="0" w:line="240" w:lineRule="auto"/>
    </w:pPr>
    <w:tblPr>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customStyle="1" w:styleId="145">
    <w:name w:val="Список таблиці 31"/>
    <w:basedOn w:val="38"/>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46">
    <w:name w:val="List Table 3 - Accent 11"/>
    <w:basedOn w:val="38"/>
    <w:qFormat/>
    <w:uiPriority w:val="99"/>
    <w:pPr>
      <w:spacing w:after="0" w:line="240" w:lineRule="auto"/>
    </w:pPr>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rFonts w:ascii="Arial" w:hAnsi="Arial"/>
        <w:b/>
        <w:color w:val="FFFFFF"/>
        <w:sz w:val="22"/>
      </w:r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band1Horz">
      <w:rPr>
        <w:rFonts w:ascii="Arial" w:hAnsi="Arial"/>
        <w:color w:val="404040"/>
        <w:sz w:val="22"/>
      </w:rPr>
      <w:tcPr>
        <w:tcBorders>
          <w:top w:val="single" w:color="5B9BD5" w:themeColor="accent1" w:sz="4" w:space="0"/>
          <w:bottom w:val="single" w:color="5B9BD5" w:themeColor="accent1" w:sz="4" w:space="0"/>
        </w:tcBorders>
      </w:tcPr>
    </w:tblStylePr>
  </w:style>
  <w:style w:type="table" w:customStyle="1" w:styleId="147">
    <w:name w:val="List Table 3 - Accent 21"/>
    <w:basedOn w:val="38"/>
    <w:qFormat/>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Pr>
    <w:tblStylePr w:type="firstRow">
      <w:rPr>
        <w:rFonts w:ascii="Arial" w:hAnsi="Arial"/>
        <w:b/>
        <w:color w:val="FFFFFF"/>
        <w:sz w:val="22"/>
      </w:rPr>
      <w:tcPr>
        <w:shd w:val="clear" w:color="F4B285" w:themeColor="accent2" w:themeTint="97"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148">
    <w:name w:val="List Table 3 - Accent 31"/>
    <w:basedOn w:val="38"/>
    <w:qFormat/>
    <w:uiPriority w:val="99"/>
    <w:pPr>
      <w:spacing w:after="0" w:line="240" w:lineRule="auto"/>
    </w:pPr>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149">
    <w:name w:val="List Table 3 - Accent 41"/>
    <w:basedOn w:val="38"/>
    <w:qFormat/>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Pr>
    <w:tblStylePr w:type="firstRow">
      <w:rPr>
        <w:rFonts w:ascii="Arial" w:hAnsi="Arial"/>
        <w:b/>
        <w:color w:val="FFFFFF"/>
        <w:sz w:val="22"/>
      </w:rPr>
      <w:tcPr>
        <w:shd w:val="clear" w:color="FFD864" w:themeColor="accent4" w:themeTint="9A"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150">
    <w:name w:val="List Table 3 - Accent 51"/>
    <w:basedOn w:val="38"/>
    <w:qFormat/>
    <w:uiPriority w:val="99"/>
    <w:pPr>
      <w:spacing w:after="0" w:line="240" w:lineRule="auto"/>
    </w:pPr>
    <w:tblPr>
      <w:tblBorders>
        <w:top w:val="single" w:color="8EA9DB" w:themeColor="accent5" w:themeTint="9A" w:sz="4" w:space="0"/>
        <w:left w:val="single" w:color="8EA9DB" w:themeColor="accent5" w:themeTint="9A" w:sz="4" w:space="0"/>
        <w:bottom w:val="single" w:color="8EA9DB" w:themeColor="accent5" w:themeTint="9A" w:sz="4" w:space="0"/>
        <w:right w:val="single" w:color="8EA9DB" w:themeColor="accent5" w:themeTint="9A" w:sz="4" w:space="0"/>
      </w:tblBorders>
    </w:tblPr>
    <w:tblStylePr w:type="firstRow">
      <w:rPr>
        <w:rFonts w:ascii="Arial" w:hAnsi="Arial"/>
        <w:b/>
        <w:color w:val="FFFFFF"/>
        <w:sz w:val="22"/>
      </w:rPr>
      <w:tcPr>
        <w:shd w:val="clear" w:color="8EA9DB" w:themeColor="accent5" w:themeTint="9A" w:fill="8E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8EA9DB" w:themeColor="accent5" w:themeTint="9A" w:sz="4" w:space="0"/>
          <w:right w:val="single" w:color="8EA9DB" w:themeColor="accent5" w:themeTint="9A" w:sz="4" w:space="0"/>
        </w:tcBorders>
      </w:tcPr>
    </w:tblStylePr>
    <w:tblStylePr w:type="band1Horz">
      <w:rPr>
        <w:rFonts w:ascii="Arial" w:hAnsi="Arial"/>
        <w:color w:val="404040"/>
        <w:sz w:val="22"/>
      </w:rPr>
      <w:tcPr>
        <w:tcBorders>
          <w:top w:val="single" w:color="8EA9DB" w:themeColor="accent5" w:themeTint="9A" w:sz="4" w:space="0"/>
          <w:bottom w:val="single" w:color="8EA9DB" w:themeColor="accent5" w:themeTint="9A" w:sz="4" w:space="0"/>
        </w:tcBorders>
      </w:tcPr>
    </w:tblStylePr>
  </w:style>
  <w:style w:type="table" w:customStyle="1" w:styleId="151">
    <w:name w:val="List Table 3 - Accent 61"/>
    <w:basedOn w:val="38"/>
    <w:qFormat/>
    <w:uiPriority w:val="99"/>
    <w:pPr>
      <w:spacing w:after="0" w:line="240" w:lineRule="auto"/>
    </w:pPr>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rFonts w:ascii="Arial" w:hAnsi="Arial"/>
        <w:b/>
        <w:color w:val="FFFFFF"/>
        <w:sz w:val="22"/>
      </w:r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152">
    <w:name w:val="Список таблиці 41"/>
    <w:basedOn w:val="38"/>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53">
    <w:name w:val="List Table 4 - Accent 11"/>
    <w:basedOn w:val="38"/>
    <w:qFormat/>
    <w:uiPriority w:val="9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rFonts w:ascii="Arial" w:hAnsi="Arial"/>
        <w:b/>
        <w:color w:val="FFFFFF"/>
        <w:sz w:val="22"/>
      </w:r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5E5F4" w:themeColor="accent1" w:themeTint="40" w:fill="D5E5F4" w:themeFill="accent1" w:themeFillTint="40"/>
      </w:tcPr>
    </w:tblStylePr>
    <w:tblStylePr w:type="band1Horz">
      <w:rPr>
        <w:rFonts w:ascii="Arial" w:hAnsi="Arial"/>
        <w:color w:val="404040"/>
        <w:sz w:val="22"/>
      </w:rPr>
      <w:tcPr>
        <w:shd w:val="clear" w:color="D5E5F4" w:themeColor="accent1" w:themeTint="40" w:fill="D5E5F4" w:themeFill="accent1" w:themeFillTint="40"/>
      </w:tcPr>
    </w:tblStylePr>
  </w:style>
  <w:style w:type="table" w:customStyle="1" w:styleId="154">
    <w:name w:val="List Table 4 - Accent 21"/>
    <w:basedOn w:val="38"/>
    <w:qFormat/>
    <w:uiPriority w:val="9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rFonts w:ascii="Arial" w:hAnsi="Arial"/>
        <w:b/>
        <w:color w:val="FFFFFF"/>
        <w:sz w:val="22"/>
      </w:r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customStyle="1" w:styleId="155">
    <w:name w:val="List Table 4 - Accent 31"/>
    <w:basedOn w:val="38"/>
    <w:qFormat/>
    <w:uiPriority w:val="9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customStyle="1" w:styleId="156">
    <w:name w:val="List Table 4 - Accent 41"/>
    <w:basedOn w:val="38"/>
    <w:qFormat/>
    <w:uiPriority w:val="9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Pr>
    <w:tblStylePr w:type="firstRow">
      <w:rPr>
        <w:rFonts w:ascii="Arial" w:hAnsi="Arial"/>
        <w:b/>
        <w:color w:val="FFFFFF"/>
        <w:sz w:val="22"/>
      </w:r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EFBE" w:themeColor="accent4" w:themeTint="40" w:fill="FFEFBE" w:themeFill="accent4" w:themeFillTint="40"/>
      </w:tcPr>
    </w:tblStylePr>
    <w:tblStylePr w:type="band1Horz">
      <w:rPr>
        <w:rFonts w:ascii="Arial" w:hAnsi="Arial"/>
        <w:color w:val="404040"/>
        <w:sz w:val="22"/>
      </w:rPr>
      <w:tcPr>
        <w:shd w:val="clear" w:color="FFEFBE" w:themeColor="accent4" w:themeTint="40" w:fill="FFEFBE" w:themeFill="accent4" w:themeFillTint="40"/>
      </w:tcPr>
    </w:tblStylePr>
  </w:style>
  <w:style w:type="table" w:customStyle="1" w:styleId="157">
    <w:name w:val="List Table 4 - Accent 51"/>
    <w:basedOn w:val="38"/>
    <w:qFormat/>
    <w:uiPriority w:val="9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rFonts w:ascii="Arial" w:hAnsi="Arial"/>
        <w:b/>
        <w:color w:val="FFFFFF"/>
        <w:sz w:val="22"/>
      </w:r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0DBF0" w:themeColor="accent5" w:themeTint="40" w:fill="D0DBF0" w:themeFill="accent5" w:themeFillTint="40"/>
      </w:tcPr>
    </w:tblStylePr>
    <w:tblStylePr w:type="band1Horz">
      <w:rPr>
        <w:rFonts w:ascii="Arial" w:hAnsi="Arial"/>
        <w:color w:val="404040"/>
        <w:sz w:val="22"/>
      </w:rPr>
      <w:tcPr>
        <w:shd w:val="clear" w:color="D0DBF0" w:themeColor="accent5" w:themeTint="40" w:fill="D0DBF0" w:themeFill="accent5" w:themeFillTint="40"/>
      </w:tcPr>
    </w:tblStylePr>
  </w:style>
  <w:style w:type="table" w:customStyle="1" w:styleId="158">
    <w:name w:val="List Table 4 - Accent 61"/>
    <w:basedOn w:val="38"/>
    <w:qFormat/>
    <w:uiPriority w:val="9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rFonts w:ascii="Arial" w:hAnsi="Arial"/>
        <w:b/>
        <w:color w:val="FFFFFF"/>
        <w:sz w:val="22"/>
      </w:r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customStyle="1" w:styleId="159">
    <w:name w:val="Список таблиці 5 (темний)1"/>
    <w:basedOn w:val="38"/>
    <w:qFormat/>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60">
    <w:name w:val="List Table 5 Dark - Accent 11"/>
    <w:basedOn w:val="38"/>
    <w:qFormat/>
    <w:uiPriority w:val="99"/>
    <w:pPr>
      <w:spacing w:after="0" w:line="240" w:lineRule="auto"/>
    </w:pPr>
    <w:tblPr>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5B9BD5" w:themeColor="accent1" w:sz="32" w:space="0"/>
          <w:bottom w:val="single" w:color="FFFFFF" w:themeColor="light1" w:sz="12" w:space="0"/>
        </w:tcBorders>
        <w:shd w:val="clear" w:color="5B9BD5" w:themeColor="accent1" w:fill="5B9BD5"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5B9BD5" w:themeColor="accent1" w:sz="32" w:space="0"/>
          <w:right w:val="single" w:color="FFFFFF" w:themeColor="light1" w:sz="4" w:space="0"/>
        </w:tcBorders>
      </w:tcPr>
    </w:tblStylePr>
    <w:tblStylePr w:type="lastCol">
      <w:tcPr>
        <w:tcBorders>
          <w:left w:val="single" w:color="FFFFFF" w:themeColor="light1" w:sz="4" w:space="0"/>
          <w:right w:val="single" w:color="5B9BD5" w:themeColor="accent1" w:sz="32" w:space="0"/>
        </w:tcBorders>
      </w:tcPr>
    </w:tblStylePr>
    <w:tblStylePr w:type="band1Vert">
      <w:tcPr>
        <w:tcBorders>
          <w:left w:val="single" w:color="FFFFFF" w:themeColor="light1" w:sz="4" w:space="0"/>
          <w:right w:val="single" w:color="FFFFFF" w:themeColor="light1" w:sz="4" w:space="0"/>
        </w:tcBorders>
        <w:shd w:val="clear" w:color="5B9BD5" w:themeColor="accent1" w:fill="5B9BD5"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5B9BD5" w:themeColor="accent1" w:fill="5B9BD5" w:themeFill="accent1"/>
      </w:tcPr>
    </w:tblStylePr>
    <w:tblStylePr w:type="band2Horz">
      <w:tcPr>
        <w:tcBorders>
          <w:top w:val="single" w:color="FFFFFF" w:themeColor="light1" w:sz="4" w:space="0"/>
          <w:bottom w:val="single" w:color="FFFFFF" w:themeColor="light1" w:sz="4" w:space="0"/>
        </w:tcBorders>
        <w:shd w:val="clear" w:color="5B9BD5" w:themeColor="accent1" w:fill="5B9BD5" w:themeFill="accent1"/>
      </w:tcPr>
    </w:tblStylePr>
  </w:style>
  <w:style w:type="table" w:customStyle="1" w:styleId="161">
    <w:name w:val="List Table 5 Dark - Accent 21"/>
    <w:basedOn w:val="38"/>
    <w:qFormat/>
    <w:uiPriority w:val="99"/>
    <w:pPr>
      <w:spacing w:after="0" w:line="240" w:lineRule="auto"/>
    </w:pPr>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F4B285" w:themeColor="accent2" w:themeTint="97" w:sz="32" w:space="0"/>
          <w:bottom w:val="single" w:color="FFFFFF" w:themeColor="light1" w:sz="12" w:space="0"/>
        </w:tcBorders>
        <w:shd w:val="clear" w:color="F4B285" w:themeColor="accent2" w:themeTint="97" w:fill="F4B28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4B285" w:themeColor="accent2" w:themeTint="97" w:sz="32" w:space="0"/>
          <w:right w:val="single" w:color="FFFFFF" w:themeColor="light1" w:sz="4" w:space="0"/>
        </w:tcBorders>
      </w:tcPr>
    </w:tblStylePr>
    <w:tblStylePr w:type="lastCol">
      <w:tcPr>
        <w:tcBorders>
          <w:left w:val="single" w:color="FFFFFF" w:themeColor="light1" w:sz="4" w:space="0"/>
          <w:right w:val="single" w:color="F4B285" w:themeColor="accent2" w:themeTint="97" w:sz="32" w:space="0"/>
        </w:tcBorders>
      </w:tcPr>
    </w:tblStylePr>
    <w:tblStylePr w:type="band1Vert">
      <w:tcPr>
        <w:tcBorders>
          <w:left w:val="single" w:color="FFFFFF" w:themeColor="light1" w:sz="4" w:space="0"/>
          <w:right w:val="single" w:color="FFFFFF" w:themeColor="light1" w:sz="4" w:space="0"/>
        </w:tcBorders>
        <w:shd w:val="clear" w:color="F4B285" w:themeColor="accent2" w:themeTint="97" w:fill="F4B28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4B285" w:themeColor="accent2" w:themeTint="97" w:fill="F4B285" w:themeFill="accent2" w:themeFillTint="97"/>
      </w:tcPr>
    </w:tblStylePr>
    <w:tblStylePr w:type="band2Horz">
      <w:tcPr>
        <w:tcBorders>
          <w:top w:val="single" w:color="FFFFFF" w:themeColor="light1" w:sz="4" w:space="0"/>
          <w:bottom w:val="single" w:color="FFFFFF" w:themeColor="light1" w:sz="4" w:space="0"/>
        </w:tcBorders>
        <w:shd w:val="clear" w:color="F4B285" w:themeColor="accent2" w:themeTint="97" w:fill="F4B285" w:themeFill="accent2" w:themeFillTint="97"/>
      </w:tcPr>
    </w:tblStylePr>
  </w:style>
  <w:style w:type="table" w:customStyle="1" w:styleId="162">
    <w:name w:val="List Table 5 Dark - Accent 31"/>
    <w:basedOn w:val="38"/>
    <w:qFormat/>
    <w:uiPriority w:val="99"/>
    <w:pPr>
      <w:spacing w:after="0" w:line="240" w:lineRule="auto"/>
    </w:pPr>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9C9C9" w:themeColor="accent3" w:themeTint="98" w:sz="32" w:space="0"/>
          <w:bottom w:val="single" w:color="FFFFFF" w:themeColor="light1" w:sz="12" w:space="0"/>
        </w:tcBorders>
        <w:shd w:val="clear" w:color="C9C9C9" w:themeColor="accent3" w:themeTint="98" w:fill="C9C9C9"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C9C9C9" w:themeColor="accent3" w:themeTint="98"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tblStylePr w:type="band2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style>
  <w:style w:type="table" w:customStyle="1" w:styleId="163">
    <w:name w:val="List Table 5 Dark - Accent 41"/>
    <w:basedOn w:val="38"/>
    <w:qFormat/>
    <w:uiPriority w:val="99"/>
    <w:pPr>
      <w:spacing w:after="0" w:line="240" w:lineRule="auto"/>
    </w:pPr>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FFD864" w:themeColor="accent4" w:themeTint="9A" w:sz="32" w:space="0"/>
          <w:bottom w:val="single" w:color="FFFFFF" w:themeColor="light1" w:sz="12" w:space="0"/>
        </w:tcBorders>
        <w:shd w:val="clear" w:color="FFD864" w:themeColor="accent4" w:themeTint="9A" w:fill="FFD864"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FD864" w:themeColor="accent4" w:themeTint="9A" w:sz="32" w:space="0"/>
          <w:right w:val="single" w:color="FFFFFF" w:themeColor="light1" w:sz="4" w:space="0"/>
        </w:tcBorders>
      </w:tcPr>
    </w:tblStylePr>
    <w:tblStylePr w:type="lastCol">
      <w:tcPr>
        <w:tcBorders>
          <w:left w:val="single" w:color="FFFFFF" w:themeColor="light1" w:sz="4" w:space="0"/>
          <w:right w:val="single" w:color="FFD864" w:themeColor="accent4" w:themeTint="9A" w:sz="32" w:space="0"/>
        </w:tcBorders>
      </w:tcPr>
    </w:tblStylePr>
    <w:tblStylePr w:type="band1Vert">
      <w:tcPr>
        <w:tcBorders>
          <w:left w:val="single" w:color="FFFFFF" w:themeColor="light1" w:sz="4" w:space="0"/>
          <w:right w:val="single" w:color="FFFFFF" w:themeColor="light1" w:sz="4" w:space="0"/>
        </w:tcBorders>
        <w:shd w:val="clear" w:color="FFD864" w:themeColor="accent4" w:themeTint="9A" w:fill="FFD864"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D864" w:themeColor="accent4" w:themeTint="9A" w:fill="FFD864" w:themeFill="accent4" w:themeFillTint="9A"/>
      </w:tcPr>
    </w:tblStylePr>
    <w:tblStylePr w:type="band2Horz">
      <w:tcPr>
        <w:tcBorders>
          <w:top w:val="single" w:color="FFFFFF" w:themeColor="light1" w:sz="4" w:space="0"/>
          <w:bottom w:val="single" w:color="FFFFFF" w:themeColor="light1" w:sz="4" w:space="0"/>
        </w:tcBorders>
        <w:shd w:val="clear" w:color="FFD864" w:themeColor="accent4" w:themeTint="9A" w:fill="FFD864" w:themeFill="accent4" w:themeFillTint="9A"/>
      </w:tcPr>
    </w:tblStylePr>
  </w:style>
  <w:style w:type="table" w:customStyle="1" w:styleId="164">
    <w:name w:val="List Table 5 Dark - Accent 51"/>
    <w:basedOn w:val="38"/>
    <w:qFormat/>
    <w:uiPriority w:val="99"/>
    <w:pPr>
      <w:spacing w:after="0" w:line="240" w:lineRule="auto"/>
    </w:pPr>
    <w:tblPr>
      <w:tblBorders>
        <w:top w:val="single" w:color="8EA9DB" w:themeColor="accent5" w:themeTint="9A" w:sz="32" w:space="0"/>
        <w:left w:val="single" w:color="8EA9DB" w:themeColor="accent5" w:themeTint="9A" w:sz="32" w:space="0"/>
        <w:bottom w:val="single" w:color="8EA9DB" w:themeColor="accent5" w:themeTint="9A" w:sz="32" w:space="0"/>
        <w:right w:val="single" w:color="8EA9DB"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8EA9DB" w:themeColor="accent5" w:themeTint="9A" w:sz="32" w:space="0"/>
          <w:bottom w:val="single" w:color="FFFFFF" w:themeColor="light1" w:sz="12" w:space="0"/>
        </w:tcBorders>
        <w:shd w:val="clear" w:color="8EA9DB" w:themeColor="accent5" w:themeTint="9A" w:fill="8EA9DB"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8EA9DB" w:themeColor="accent5" w:themeTint="9A" w:sz="32" w:space="0"/>
          <w:right w:val="single" w:color="FFFFFF" w:themeColor="light1" w:sz="4" w:space="0"/>
        </w:tcBorders>
      </w:tcPr>
    </w:tblStylePr>
    <w:tblStylePr w:type="lastCol">
      <w:tcPr>
        <w:tcBorders>
          <w:left w:val="single" w:color="FFFFFF" w:themeColor="light1" w:sz="4" w:space="0"/>
          <w:right w:val="single" w:color="8EA9DB" w:themeColor="accent5" w:themeTint="9A" w:sz="32" w:space="0"/>
        </w:tcBorders>
      </w:tcPr>
    </w:tblStylePr>
    <w:tblStylePr w:type="band1Vert">
      <w:tcPr>
        <w:tcBorders>
          <w:left w:val="single" w:color="FFFFFF" w:themeColor="light1" w:sz="4" w:space="0"/>
          <w:right w:val="single" w:color="FFFFFF" w:themeColor="light1" w:sz="4" w:space="0"/>
        </w:tcBorders>
        <w:shd w:val="clear" w:color="8EA9DB" w:themeColor="accent5" w:themeTint="9A" w:fill="8EA9DB"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8EA9DB" w:themeColor="accent5" w:themeTint="9A" w:fill="8EA9DB" w:themeFill="accent5" w:themeFillTint="9A"/>
      </w:tcPr>
    </w:tblStylePr>
    <w:tblStylePr w:type="band2Horz">
      <w:tcPr>
        <w:tcBorders>
          <w:top w:val="single" w:color="FFFFFF" w:themeColor="light1" w:sz="4" w:space="0"/>
          <w:bottom w:val="single" w:color="FFFFFF" w:themeColor="light1" w:sz="4" w:space="0"/>
        </w:tcBorders>
        <w:shd w:val="clear" w:color="8EA9DB" w:themeColor="accent5" w:themeTint="9A" w:fill="8EA9DB" w:themeFill="accent5" w:themeFillTint="9A"/>
      </w:tcPr>
    </w:tblStylePr>
  </w:style>
  <w:style w:type="table" w:customStyle="1" w:styleId="165">
    <w:name w:val="List Table 5 Dark - Accent 61"/>
    <w:basedOn w:val="38"/>
    <w:qFormat/>
    <w:uiPriority w:val="99"/>
    <w:pPr>
      <w:spacing w:after="0" w:line="240" w:lineRule="auto"/>
    </w:pPr>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A9D08E" w:themeColor="accent6" w:themeTint="98" w:sz="32" w:space="0"/>
          <w:bottom w:val="single" w:color="FFFFFF" w:themeColor="light1" w:sz="12" w:space="0"/>
        </w:tcBorders>
        <w:shd w:val="clear" w:color="A9D08E" w:themeColor="accent6" w:themeTint="98" w:fill="A9D08E"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A9D08E" w:themeColor="accent6" w:themeTint="98"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tblStylePr w:type="band2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style>
  <w:style w:type="table" w:customStyle="1" w:styleId="166">
    <w:name w:val="Список таблиці 6 (кольоровий)1"/>
    <w:basedOn w:val="38"/>
    <w:qFormat/>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67">
    <w:name w:val="List Table 6 Colorful - Accent 11"/>
    <w:basedOn w:val="38"/>
    <w:qFormat/>
    <w:uiPriority w:val="99"/>
    <w:pPr>
      <w:spacing w:after="0" w:line="240" w:lineRule="auto"/>
    </w:pPr>
    <w:tblPr>
      <w:tblBorders>
        <w:top w:val="single" w:color="5B9BD5" w:themeColor="accent1" w:sz="4" w:space="0"/>
        <w:bottom w:val="single" w:color="5B9BD5" w:themeColor="accent1" w:sz="4" w:space="0"/>
      </w:tblBorders>
    </w:tblPr>
    <w:tblStylePr w:type="firstRow">
      <w:rPr>
        <w:b/>
        <w:color w:val="245B8C" w:themeColor="accent1" w:themeShade="94"/>
      </w:rPr>
      <w:tcPr>
        <w:tcBorders>
          <w:bottom w:val="single" w:color="5B9BD5" w:themeColor="accent1" w:sz="4" w:space="0"/>
        </w:tcBorders>
      </w:tcPr>
    </w:tblStylePr>
    <w:tblStylePr w:type="lastRow">
      <w:rPr>
        <w:b/>
        <w:color w:val="245B8C" w:themeColor="accent1" w:themeShade="94"/>
      </w:rPr>
      <w:tcPr>
        <w:tcBorders>
          <w:top w:val="single" w:color="5B9BD5" w:themeColor="accent1" w:sz="4" w:space="0"/>
        </w:tcBorders>
      </w:tcPr>
    </w:tblStylePr>
    <w:tblStylePr w:type="firstCol">
      <w:rPr>
        <w:b/>
        <w:color w:val="245B8C" w:themeColor="accent1" w:themeShade="94"/>
      </w:rPr>
    </w:tblStylePr>
    <w:tblStylePr w:type="lastCol">
      <w:rPr>
        <w:b/>
        <w:color w:val="245B8C" w:themeColor="accent1" w:themeShade="94"/>
      </w:rPr>
    </w:tblStylePr>
    <w:tblStylePr w:type="band1Vert">
      <w:tcPr>
        <w:shd w:val="clear" w:color="D5E5F4" w:themeColor="accent1" w:themeTint="40" w:fill="D5E5F4" w:themeFill="accent1" w:themeFillTint="40"/>
      </w:tcPr>
    </w:tblStylePr>
    <w:tblStylePr w:type="band1Horz">
      <w:rPr>
        <w:rFonts w:ascii="Arial" w:hAnsi="Arial"/>
        <w:color w:val="245B8C" w:themeColor="accent1" w:themeShade="94"/>
        <w:sz w:val="22"/>
      </w:rPr>
      <w:tcPr>
        <w:shd w:val="clear" w:color="D5E5F4" w:themeColor="accent1" w:themeTint="40" w:fill="D5E5F4" w:themeFill="accent1" w:themeFillTint="40"/>
      </w:tcPr>
    </w:tblStylePr>
    <w:tblStylePr w:type="band2Horz">
      <w:rPr>
        <w:rFonts w:ascii="Arial" w:hAnsi="Arial"/>
        <w:color w:val="245B8C" w:themeColor="accent1" w:themeShade="94"/>
        <w:sz w:val="22"/>
      </w:rPr>
    </w:tblStylePr>
  </w:style>
  <w:style w:type="table" w:customStyle="1" w:styleId="168">
    <w:name w:val="List Table 6 Colorful - Accent 21"/>
    <w:basedOn w:val="38"/>
    <w:qFormat/>
    <w:uiPriority w:val="99"/>
    <w:pPr>
      <w:spacing w:after="0" w:line="240" w:lineRule="auto"/>
    </w:pPr>
    <w:tblPr>
      <w:tblBorders>
        <w:top w:val="single" w:color="F4B285" w:themeColor="accent2" w:themeTint="97" w:sz="4" w:space="0"/>
        <w:bottom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4" w:space="0"/>
        </w:tcBorders>
      </w:tcPr>
    </w:tblStylePr>
    <w:tblStylePr w:type="lastRow">
      <w:rPr>
        <w:b/>
        <w:color w:val="F4B285" w:themeColor="accent2" w:themeTint="96"/>
        <w14:textFill>
          <w14:solidFill>
            <w14:schemeClr w14:val="accent2">
              <w14:lumMod w14:val="59000"/>
              <w14:lumOff w14:val="41000"/>
            </w14:schemeClr>
          </w14:solidFill>
        </w14:textFill>
      </w:rPr>
      <w:tcPr>
        <w:tcBorders>
          <w:top w:val="single" w:color="F4B285" w:themeColor="accent2" w:themeTint="97" w:sz="4" w:space="0"/>
        </w:tcBorders>
      </w:tc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ADECB" w:themeColor="accent2" w:themeTint="40"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69">
    <w:name w:val="List Table 6 Colorful - Accent 31"/>
    <w:basedOn w:val="38"/>
    <w:qFormat/>
    <w:uiPriority w:val="99"/>
    <w:pPr>
      <w:spacing w:after="0" w:line="240" w:lineRule="auto"/>
    </w:pPr>
    <w:tblPr>
      <w:tblBorders>
        <w:top w:val="single" w:color="C9C9C9" w:themeColor="accent3" w:themeTint="98" w:sz="4" w:space="0"/>
        <w:bottom w:val="single" w:color="C9C9C9" w:themeColor="accent3" w:themeTint="98" w:sz="4" w:space="0"/>
      </w:tblBorders>
    </w:tblPr>
    <w:tblStylePr w:type="firstRow">
      <w:rPr>
        <w:b/>
        <w:color w:val="C9C9C9" w:themeColor="accent3" w:themeTint="99"/>
        <w14:textFill>
          <w14:solidFill>
            <w14:schemeClr w14:val="accent3">
              <w14:lumMod w14:val="60000"/>
              <w14:lumOff w14:val="40000"/>
            </w14:schemeClr>
          </w14:solidFill>
        </w14:textFill>
      </w:rPr>
      <w:tcPr>
        <w:tcBorders>
          <w:bottom w:val="single" w:color="C9C9C9" w:themeColor="accent3" w:themeTint="98" w:sz="4" w:space="0"/>
        </w:tcBorders>
      </w:tcPr>
    </w:tblStylePr>
    <w:tblStylePr w:type="lastRow">
      <w:rPr>
        <w:b/>
        <w:color w:val="C9C9C9" w:themeColor="accent3" w:themeTint="99"/>
        <w14:textFill>
          <w14:solidFill>
            <w14:schemeClr w14:val="accent3">
              <w14:lumMod w14:val="60000"/>
              <w14:lumOff w14:val="40000"/>
            </w14:schemeClr>
          </w14:solidFill>
        </w14:textFill>
      </w:rPr>
      <w:tcPr>
        <w:tcBorders>
          <w:top w:val="single" w:color="C9C9C9" w:themeColor="accent3" w:themeTint="98" w:sz="4" w:space="0"/>
        </w:tcBorders>
      </w:tcPr>
    </w:tblStylePr>
    <w:tblStylePr w:type="firstCol">
      <w:rPr>
        <w:b/>
        <w:color w:val="C9C9C9" w:themeColor="accent3" w:themeTint="99"/>
        <w14:textFill>
          <w14:solidFill>
            <w14:schemeClr w14:val="accent3">
              <w14:lumMod w14:val="60000"/>
              <w14:lumOff w14:val="40000"/>
            </w14:schemeClr>
          </w14:solidFill>
        </w14:textFill>
      </w:rPr>
    </w:tblStylePr>
    <w:tblStylePr w:type="lastCol">
      <w:rPr>
        <w:b/>
        <w:color w:val="C9C9C9" w:themeColor="accent3" w:themeTint="99"/>
        <w14:textFill>
          <w14:solidFill>
            <w14:schemeClr w14:val="accent3">
              <w14:lumMod w14:val="60000"/>
              <w14:lumOff w14:val="40000"/>
            </w14:schemeClr>
          </w14:solidFill>
        </w14:textFill>
      </w:r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70">
    <w:name w:val="List Table 6 Colorful - Accent 41"/>
    <w:basedOn w:val="38"/>
    <w:qFormat/>
    <w:uiPriority w:val="99"/>
    <w:pPr>
      <w:spacing w:after="0" w:line="240" w:lineRule="auto"/>
    </w:pPr>
    <w:tblPr>
      <w:tblBorders>
        <w:top w:val="single" w:color="FFD864" w:themeColor="accent4" w:themeTint="9A" w:sz="4" w:space="0"/>
        <w:bottom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4" w:space="0"/>
        </w:tcBorders>
      </w:tcPr>
    </w:tblStylePr>
    <w:tblStylePr w:type="lastRow">
      <w:rPr>
        <w:b/>
        <w:color w:val="FFD966" w:themeColor="accent4" w:themeTint="99"/>
        <w14:textFill>
          <w14:solidFill>
            <w14:schemeClr w14:val="accent4">
              <w14:lumMod w14:val="60000"/>
              <w14:lumOff w14:val="40000"/>
            </w14:schemeClr>
          </w14:solidFill>
        </w14:textFill>
      </w:rPr>
      <w:tcPr>
        <w:tcBorders>
          <w:top w:val="single" w:color="FFD864" w:themeColor="accent4" w:themeTint="9A" w:sz="4" w:space="0"/>
        </w:tcBorders>
      </w:tc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FEFBE" w:themeColor="accent4" w:themeTint="40"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71">
    <w:name w:val="List Table 6 Colorful - Accent 51"/>
    <w:basedOn w:val="38"/>
    <w:qFormat/>
    <w:uiPriority w:val="99"/>
    <w:pPr>
      <w:spacing w:after="0" w:line="240" w:lineRule="auto"/>
    </w:pPr>
    <w:tblPr>
      <w:tblBorders>
        <w:top w:val="single" w:color="8EA9DB" w:themeColor="accent5" w:themeTint="9A" w:sz="4" w:space="0"/>
        <w:bottom w:val="single" w:color="8EA9DB" w:themeColor="accent5" w:themeTint="9A" w:sz="4" w:space="0"/>
      </w:tblBorders>
    </w:tblPr>
    <w:tblStylePr w:type="firstRow">
      <w:rPr>
        <w:b/>
        <w:color w:val="8FAADC" w:themeColor="accent5" w:themeTint="99"/>
        <w14:textFill>
          <w14:solidFill>
            <w14:schemeClr w14:val="accent5">
              <w14:lumMod w14:val="60000"/>
              <w14:lumOff w14:val="40000"/>
            </w14:schemeClr>
          </w14:solidFill>
        </w14:textFill>
      </w:rPr>
      <w:tcPr>
        <w:tcBorders>
          <w:bottom w:val="single" w:color="8EA9DB" w:themeColor="accent5" w:themeTint="9A" w:sz="4" w:space="0"/>
        </w:tcBorders>
      </w:tcPr>
    </w:tblStylePr>
    <w:tblStylePr w:type="lastRow">
      <w:rPr>
        <w:b/>
        <w:color w:val="8FAADC" w:themeColor="accent5" w:themeTint="99"/>
        <w14:textFill>
          <w14:solidFill>
            <w14:schemeClr w14:val="accent5">
              <w14:lumMod w14:val="60000"/>
              <w14:lumOff w14:val="40000"/>
            </w14:schemeClr>
          </w14:solidFill>
        </w14:textFill>
      </w:rPr>
      <w:tcPr>
        <w:tcBorders>
          <w:top w:val="single" w:color="8EA9DB" w:themeColor="accent5" w:themeTint="9A" w:sz="4" w:space="0"/>
        </w:tcBorders>
      </w:tcPr>
    </w:tblStylePr>
    <w:tblStylePr w:type="firstCol">
      <w:rPr>
        <w:b/>
        <w:color w:val="8FAADC" w:themeColor="accent5" w:themeTint="99"/>
        <w14:textFill>
          <w14:solidFill>
            <w14:schemeClr w14:val="accent5">
              <w14:lumMod w14:val="60000"/>
              <w14:lumOff w14:val="40000"/>
            </w14:schemeClr>
          </w14:solidFill>
        </w14:textFill>
      </w:rPr>
    </w:tblStylePr>
    <w:tblStylePr w:type="lastCol">
      <w:rPr>
        <w:b/>
        <w:color w:val="8FAADC" w:themeColor="accent5" w:themeTint="99"/>
        <w14:textFill>
          <w14:solidFill>
            <w14:schemeClr w14:val="accent5">
              <w14:lumMod w14:val="60000"/>
              <w14:lumOff w14:val="40000"/>
            </w14:schemeClr>
          </w14:solidFill>
        </w14:textFill>
      </w:rPr>
    </w:tblStylePr>
    <w:tblStylePr w:type="band1Vert">
      <w:tcPr>
        <w:shd w:val="clear" w:color="D0DBF0" w:themeColor="accent5" w:themeTint="40"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D0DBF0" w:themeColor="accent5" w:themeTint="40"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72">
    <w:name w:val="List Table 6 Colorful - Accent 61"/>
    <w:basedOn w:val="38"/>
    <w:qFormat/>
    <w:uiPriority w:val="99"/>
    <w:pPr>
      <w:spacing w:after="0" w:line="240" w:lineRule="auto"/>
    </w:pPr>
    <w:tblPr>
      <w:tblBorders>
        <w:top w:val="single" w:color="A9D08E" w:themeColor="accent6" w:themeTint="98" w:sz="4" w:space="0"/>
        <w:bottom w:val="single" w:color="A9D08E" w:themeColor="accent6" w:themeTint="98" w:sz="4" w:space="0"/>
      </w:tblBorders>
    </w:tblPr>
    <w:tblStylePr w:type="firstRow">
      <w:rPr>
        <w:b/>
        <w:color w:val="A9D18E" w:themeColor="accent6" w:themeTint="99"/>
        <w14:textFill>
          <w14:solidFill>
            <w14:schemeClr w14:val="accent6">
              <w14:lumMod w14:val="60000"/>
              <w14:lumOff w14:val="40000"/>
            </w14:schemeClr>
          </w14:solidFill>
        </w14:textFill>
      </w:rPr>
      <w:tcPr>
        <w:tcBorders>
          <w:bottom w:val="single" w:color="A9D08E" w:themeColor="accent6" w:themeTint="98" w:sz="4" w:space="0"/>
        </w:tcBorders>
      </w:tcPr>
    </w:tblStylePr>
    <w:tblStylePr w:type="lastRow">
      <w:rPr>
        <w:b/>
        <w:color w:val="A9D18E" w:themeColor="accent6" w:themeTint="99"/>
        <w14:textFill>
          <w14:solidFill>
            <w14:schemeClr w14:val="accent6">
              <w14:lumMod w14:val="60000"/>
              <w14:lumOff w14:val="40000"/>
            </w14:schemeClr>
          </w14:solidFill>
        </w14:textFill>
      </w:rPr>
      <w:tcPr>
        <w:tcBorders>
          <w:top w:val="single" w:color="A9D08E" w:themeColor="accent6" w:themeTint="98" w:sz="4" w:space="0"/>
        </w:tcBorders>
      </w:tcPr>
    </w:tblStylePr>
    <w:tblStylePr w:type="firstCol">
      <w:rPr>
        <w:b/>
        <w:color w:val="A9D18E" w:themeColor="accent6" w:themeTint="99"/>
        <w14:textFill>
          <w14:solidFill>
            <w14:schemeClr w14:val="accent6">
              <w14:lumMod w14:val="60000"/>
              <w14:lumOff w14:val="40000"/>
            </w14:schemeClr>
          </w14:solidFill>
        </w14:textFill>
      </w:rPr>
    </w:tblStylePr>
    <w:tblStylePr w:type="lastCol">
      <w:rPr>
        <w:b/>
        <w:color w:val="A9D18E" w:themeColor="accent6" w:themeTint="99"/>
        <w14:textFill>
          <w14:solidFill>
            <w14:schemeClr w14:val="accent6">
              <w14:lumMod w14:val="60000"/>
              <w14:lumOff w14:val="40000"/>
            </w14:schemeClr>
          </w14:solidFill>
        </w14:textFill>
      </w:rPr>
    </w:tblStylePr>
    <w:tblStylePr w:type="band1Vert">
      <w:tcPr>
        <w:shd w:val="clear" w:color="DAEBCF" w:themeColor="accent6" w:themeTint="40"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73">
    <w:name w:val="Список таблиці 7 (кольоровий)1"/>
    <w:basedOn w:val="38"/>
    <w:qFormat/>
    <w:uiPriority w:val="99"/>
    <w:pPr>
      <w:spacing w:after="0" w:line="240" w:lineRule="auto"/>
    </w:pPr>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74">
    <w:name w:val="List Table 7 Colorful - Accent 11"/>
    <w:basedOn w:val="38"/>
    <w:qFormat/>
    <w:uiPriority w:val="99"/>
    <w:pPr>
      <w:spacing w:after="0" w:line="240" w:lineRule="auto"/>
    </w:pPr>
    <w:tblPr>
      <w:tblBorders>
        <w:right w:val="single" w:color="5B9BD5" w:themeColor="accent1" w:sz="4" w:space="0"/>
      </w:tblBorders>
    </w:tblPr>
    <w:tblStylePr w:type="firstRow">
      <w:rPr>
        <w:rFonts w:ascii="Arial" w:hAnsi="Arial"/>
        <w:i/>
        <w:color w:val="245B8C" w:themeColor="accent1" w:themeShade="94"/>
        <w:sz w:val="22"/>
      </w:rPr>
      <w:tcPr>
        <w:tcBorders>
          <w:top w:val="nil"/>
          <w:left w:val="nil"/>
          <w:bottom w:val="single" w:color="5B9BD5" w:themeColor="accent1" w:sz="4" w:space="0"/>
          <w:right w:val="nil"/>
        </w:tcBorders>
        <w:shd w:val="clear" w:color="FFFFFF" w:themeColor="light1" w:fill="FFFFFF" w:themeFill="light1"/>
      </w:tcPr>
    </w:tblStylePr>
    <w:tblStylePr w:type="lastRow">
      <w:rPr>
        <w:rFonts w:ascii="Arial" w:hAnsi="Arial"/>
        <w:i/>
        <w:color w:val="245B8C" w:themeColor="accent1" w:themeShade="94"/>
        <w:sz w:val="22"/>
      </w:rPr>
      <w:tcPr>
        <w:tcBorders>
          <w:top w:val="single" w:color="5B9BD5"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45B8C" w:themeColor="accent1" w:themeShade="94"/>
        <w:sz w:val="22"/>
      </w:rPr>
      <w:tcPr>
        <w:tcBorders>
          <w:top w:val="nil"/>
          <w:left w:val="nil"/>
          <w:bottom w:val="nil"/>
          <w:right w:val="single" w:color="5B9BD5" w:themeColor="accent1" w:sz="4" w:space="0"/>
        </w:tcBorders>
        <w:shd w:val="clear" w:color="FFFFFF" w:fill="auto"/>
      </w:tcPr>
    </w:tblStylePr>
    <w:tblStylePr w:type="lastCol">
      <w:rPr>
        <w:rFonts w:ascii="Arial" w:hAnsi="Arial"/>
        <w:i/>
        <w:color w:val="245B8C" w:themeColor="accent1" w:themeShade="94"/>
        <w:sz w:val="22"/>
      </w:rPr>
      <w:tcPr>
        <w:tcBorders>
          <w:top w:val="nil"/>
          <w:left w:val="single" w:color="5B9BD5" w:themeColor="accent1" w:sz="4" w:space="0"/>
          <w:bottom w:val="nil"/>
          <w:right w:val="nil"/>
        </w:tcBorders>
        <w:shd w:val="clear" w:color="FFFFFF" w:fill="auto"/>
      </w:tcPr>
    </w:tblStylePr>
    <w:tblStylePr w:type="band1Vert">
      <w:tcPr>
        <w:shd w:val="clear" w:color="D5E5F4" w:themeColor="accent1" w:themeTint="40" w:fill="D5E5F4" w:themeFill="accent1" w:themeFillTint="40"/>
      </w:tcPr>
    </w:tblStylePr>
    <w:tblStylePr w:type="band1Horz">
      <w:rPr>
        <w:rFonts w:ascii="Arial" w:hAnsi="Arial"/>
        <w:color w:val="245B8C" w:themeColor="accent1" w:themeShade="94"/>
        <w:sz w:val="22"/>
      </w:rPr>
      <w:tcPr>
        <w:shd w:val="clear" w:color="D5E5F4" w:themeColor="accent1" w:themeTint="40" w:fill="D5E5F4" w:themeFill="accent1" w:themeFillTint="40"/>
      </w:tcPr>
    </w:tblStylePr>
    <w:tblStylePr w:type="band2Horz">
      <w:rPr>
        <w:rFonts w:ascii="Arial" w:hAnsi="Arial"/>
        <w:color w:val="245B8C" w:themeColor="accent1" w:themeShade="94"/>
        <w:sz w:val="22"/>
      </w:rPr>
    </w:tblStylePr>
  </w:style>
  <w:style w:type="table" w:customStyle="1" w:styleId="175">
    <w:name w:val="List Table 7 Colorful - Accent 21"/>
    <w:basedOn w:val="38"/>
    <w:qFormat/>
    <w:uiPriority w:val="99"/>
    <w:pPr>
      <w:spacing w:after="0" w:line="240" w:lineRule="auto"/>
    </w:pPr>
    <w:tblPr>
      <w:tblBorders>
        <w:right w:val="single" w:color="F4B285" w:themeColor="accent2" w:themeTint="97" w:sz="4" w:space="0"/>
      </w:tblBorders>
    </w:tblPr>
    <w:tblStylePr w:type="firstRow">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ADECB" w:themeColor="accent2" w:themeTint="40"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76">
    <w:name w:val="List Table 7 Colorful - Accent 31"/>
    <w:basedOn w:val="38"/>
    <w:qFormat/>
    <w:uiPriority w:val="99"/>
    <w:pPr>
      <w:spacing w:after="0" w:line="240" w:lineRule="auto"/>
    </w:pPr>
    <w:tblPr>
      <w:tblBorders>
        <w:right w:val="single" w:color="C9C9C9" w:themeColor="accent3" w:themeTint="98" w:sz="4" w:space="0"/>
      </w:tblBorders>
    </w:tblPr>
    <w:tblStylePr w:type="firstRow">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single" w:color="C9C9C9" w:themeColor="accent3" w:themeTint="98" w:sz="4" w:space="0"/>
          <w:right w:val="nil"/>
        </w:tcBorders>
        <w:shd w:val="clear" w:color="FFFFFF" w:themeColor="light1" w:fill="FFFFFF" w:themeFill="light1"/>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cPr>
        <w:tcBorders>
          <w:top w:val="single" w:color="C9C9C9"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nil"/>
          <w:right w:val="single" w:color="C9C9C9" w:themeColor="accent3" w:themeTint="98" w:sz="4" w:space="0"/>
        </w:tcBorders>
        <w:shd w:val="clear" w:color="FFFFFF" w:fill="auto"/>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single" w:color="C9C9C9" w:themeColor="accent3" w:themeTint="98" w:sz="4" w:space="0"/>
          <w:bottom w:val="nil"/>
          <w:right w:val="nil"/>
        </w:tcBorders>
        <w:shd w:val="clear" w:color="FFFFFF" w:fill="auto"/>
      </w:tc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77">
    <w:name w:val="List Table 7 Colorful - Accent 41"/>
    <w:basedOn w:val="38"/>
    <w:qFormat/>
    <w:uiPriority w:val="99"/>
    <w:pPr>
      <w:spacing w:after="0" w:line="240" w:lineRule="auto"/>
    </w:pPr>
    <w:tblPr>
      <w:tblBorders>
        <w:right w:val="single" w:color="FFD864" w:themeColor="accent4" w:themeTint="9A" w:sz="4" w:space="0"/>
      </w:tblBorders>
    </w:tblPr>
    <w:tblStylePr w:type="firstRow">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FEFBE" w:themeColor="accent4" w:themeTint="40"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78">
    <w:name w:val="List Table 7 Colorful - Accent 51"/>
    <w:basedOn w:val="38"/>
    <w:qFormat/>
    <w:uiPriority w:val="99"/>
    <w:pPr>
      <w:spacing w:after="0" w:line="240" w:lineRule="auto"/>
    </w:pPr>
    <w:tblPr>
      <w:tblBorders>
        <w:right w:val="single" w:color="8EA9DB" w:themeColor="accent5" w:themeTint="9A" w:sz="4" w:space="0"/>
      </w:tblBorders>
    </w:tblPr>
    <w:tblStylePr w:type="firstRow">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single" w:color="8EA9DB" w:themeColor="accent5" w:themeTint="9A" w:sz="4" w:space="0"/>
          <w:right w:val="nil"/>
        </w:tcBorders>
        <w:shd w:val="clear" w:color="FFFFFF" w:themeColor="light1" w:fill="FFFFFF" w:themeFill="light1"/>
      </w:tcPr>
    </w:tblStylePr>
    <w:tblStylePr w:type="lastRow">
      <w:rPr>
        <w:rFonts w:ascii="Arial" w:hAnsi="Arial"/>
        <w:i/>
        <w:color w:val="8FAADC" w:themeColor="accent5" w:themeTint="99"/>
        <w:sz w:val="22"/>
        <w14:textFill>
          <w14:solidFill>
            <w14:schemeClr w14:val="accent5">
              <w14:lumMod w14:val="60000"/>
              <w14:lumOff w14:val="40000"/>
            </w14:schemeClr>
          </w14:solidFill>
        </w14:textFill>
      </w:rPr>
      <w:tcPr>
        <w:tcBorders>
          <w:top w:val="single" w:color="8EA9DB"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nil"/>
          <w:right w:val="single" w:color="8EA9DB" w:themeColor="accent5" w:themeTint="9A" w:sz="4" w:space="0"/>
        </w:tcBorders>
        <w:shd w:val="clear" w:color="FFFFFF" w:fill="auto"/>
      </w:tcPr>
    </w:tblStylePr>
    <w:tblStylePr w:type="lastCol">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single" w:color="8EA9DB" w:themeColor="accent5" w:themeTint="9A" w:sz="4" w:space="0"/>
          <w:bottom w:val="nil"/>
          <w:right w:val="nil"/>
        </w:tcBorders>
        <w:shd w:val="clear" w:color="FFFFFF" w:fill="auto"/>
      </w:tcPr>
    </w:tblStylePr>
    <w:tblStylePr w:type="band1Vert">
      <w:tcPr>
        <w:shd w:val="clear" w:color="D0DBF0" w:themeColor="accent5" w:themeTint="40"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D0DBF0" w:themeColor="accent5" w:themeTint="40"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79">
    <w:name w:val="List Table 7 Colorful - Accent 61"/>
    <w:basedOn w:val="38"/>
    <w:qFormat/>
    <w:uiPriority w:val="99"/>
    <w:pPr>
      <w:spacing w:after="0" w:line="240" w:lineRule="auto"/>
    </w:pPr>
    <w:tblPr>
      <w:tblBorders>
        <w:right w:val="single" w:color="A9D08E" w:themeColor="accent6" w:themeTint="98" w:sz="4" w:space="0"/>
      </w:tblBorders>
    </w:tblPr>
    <w:tblStylePr w:type="firstRow">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single" w:color="A9D08E" w:themeColor="accent6" w:themeTint="98" w:sz="4" w:space="0"/>
          <w:right w:val="nil"/>
        </w:tcBorders>
        <w:shd w:val="clear" w:color="FFFFFF" w:themeColor="light1" w:fill="FFFFFF" w:themeFill="light1"/>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cPr>
        <w:tcBorders>
          <w:top w:val="single" w:color="A9D08E"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nil"/>
          <w:right w:val="single" w:color="A9D08E" w:themeColor="accent6" w:themeTint="98" w:sz="4" w:space="0"/>
        </w:tcBorders>
        <w:shd w:val="clear" w:color="FFFFFF" w:fill="auto"/>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single" w:color="A9D08E" w:themeColor="accent6" w:themeTint="98" w:sz="4" w:space="0"/>
          <w:bottom w:val="nil"/>
          <w:right w:val="nil"/>
        </w:tcBorders>
        <w:shd w:val="clear" w:color="FFFFFF" w:fill="auto"/>
      </w:tcPr>
    </w:tblStylePr>
    <w:tblStylePr w:type="band1Vert">
      <w:tcPr>
        <w:shd w:val="clear" w:color="DAEBCF" w:themeColor="accent6" w:themeTint="40"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80">
    <w:name w:val="Lined - Accent"/>
    <w:basedOn w:val="38"/>
    <w:qFormat/>
    <w:uiPriority w:val="99"/>
    <w:pPr>
      <w:spacing w:after="0" w:line="240" w:lineRule="auto"/>
    </w:pPr>
    <w:rPr>
      <w:color w:val="404040"/>
    </w:r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81">
    <w:name w:val="Lined - Accent 1"/>
    <w:basedOn w:val="38"/>
    <w:qFormat/>
    <w:uiPriority w:val="99"/>
    <w:pPr>
      <w:spacing w:after="0" w:line="240" w:lineRule="auto"/>
    </w:pPr>
    <w:rPr>
      <w:color w:val="404040"/>
    </w:rPr>
    <w:tblStylePr w:type="firstRow">
      <w:rPr>
        <w:rFonts w:ascii="Arial" w:hAnsi="Arial"/>
        <w:color w:val="F2F2F2"/>
        <w:sz w:val="22"/>
      </w:rPr>
      <w:tcPr>
        <w:shd w:val="clear" w:color="68A3D8" w:themeColor="accent1" w:themeTint="EA" w:fill="68A3D8" w:themeFill="accent1" w:themeFillTint="EA"/>
      </w:tcPr>
    </w:tblStylePr>
    <w:tblStylePr w:type="lastRow">
      <w:rPr>
        <w:rFonts w:ascii="Arial" w:hAnsi="Arial"/>
        <w:color w:val="F2F2F2"/>
        <w:sz w:val="22"/>
      </w:rPr>
      <w:tcPr>
        <w:shd w:val="clear" w:color="68A3D8" w:themeColor="accent1" w:themeTint="EA" w:fill="68A3D8" w:themeFill="accent1" w:themeFillTint="EA"/>
      </w:tcPr>
    </w:tblStylePr>
    <w:tblStylePr w:type="firstCol">
      <w:rPr>
        <w:rFonts w:ascii="Arial" w:hAnsi="Arial"/>
        <w:color w:val="F2F2F2"/>
        <w:sz w:val="22"/>
      </w:rPr>
      <w:tcPr>
        <w:shd w:val="clear" w:color="68A3D8" w:themeColor="accent1" w:themeTint="EA" w:fill="68A3D8" w:themeFill="accent1" w:themeFillTint="EA"/>
      </w:tcPr>
    </w:tblStylePr>
    <w:tblStylePr w:type="lastCol">
      <w:rPr>
        <w:rFonts w:ascii="Arial" w:hAnsi="Arial"/>
        <w:color w:val="F2F2F2"/>
        <w:sz w:val="22"/>
      </w:rPr>
      <w:tcPr>
        <w:shd w:val="clear" w:color="68A3D8" w:themeColor="accent1" w:themeTint="EA"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style>
  <w:style w:type="table" w:customStyle="1" w:styleId="182">
    <w:name w:val="Lined - Accent 2"/>
    <w:basedOn w:val="38"/>
    <w:qFormat/>
    <w:uiPriority w:val="99"/>
    <w:pPr>
      <w:spacing w:after="0" w:line="240" w:lineRule="auto"/>
    </w:pPr>
    <w:rPr>
      <w:color w:val="404040"/>
    </w:rPr>
    <w:tblStylePr w:type="firstRow">
      <w:rPr>
        <w:rFonts w:ascii="Arial" w:hAnsi="Arial"/>
        <w:color w:val="F2F2F2"/>
        <w:sz w:val="22"/>
      </w:rPr>
      <w:tcPr>
        <w:shd w:val="clear" w:color="F4B285" w:themeColor="accent2" w:themeTint="97" w:fill="F4B285" w:themeFill="accent2" w:themeFillTint="97"/>
      </w:tcPr>
    </w:tblStylePr>
    <w:tblStylePr w:type="lastRow">
      <w:rPr>
        <w:rFonts w:ascii="Arial" w:hAnsi="Arial"/>
        <w:color w:val="F2F2F2"/>
        <w:sz w:val="22"/>
      </w:rPr>
      <w:tcPr>
        <w:shd w:val="clear" w:color="F4B285" w:themeColor="accent2" w:themeTint="97" w:fill="F4B285" w:themeFill="accent2" w:themeFillTint="97"/>
      </w:tcPr>
    </w:tblStylePr>
    <w:tblStylePr w:type="firstCol">
      <w:rPr>
        <w:rFonts w:ascii="Arial" w:hAnsi="Arial"/>
        <w:color w:val="F2F2F2"/>
        <w:sz w:val="22"/>
      </w:rPr>
      <w:tcPr>
        <w:shd w:val="clear" w:color="F4B285" w:themeColor="accent2" w:themeTint="97" w:fill="F4B285" w:themeFill="accent2" w:themeFillTint="97"/>
      </w:tcPr>
    </w:tblStylePr>
    <w:tblStylePr w:type="lastCol">
      <w:rPr>
        <w:rFonts w:ascii="Arial" w:hAnsi="Arial"/>
        <w:color w:val="F2F2F2"/>
        <w:sz w:val="22"/>
      </w:rPr>
      <w:tcPr>
        <w:shd w:val="clear" w:color="F4B285" w:themeColor="accent2" w:themeTint="97"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customStyle="1" w:styleId="183">
    <w:name w:val="Lined - Accent 3"/>
    <w:basedOn w:val="38"/>
    <w:qFormat/>
    <w:uiPriority w:val="99"/>
    <w:pPr>
      <w:spacing w:after="0" w:line="240" w:lineRule="auto"/>
    </w:pPr>
    <w:rPr>
      <w:color w:val="404040"/>
    </w:r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customStyle="1" w:styleId="184">
    <w:name w:val="Lined - Accent 4"/>
    <w:basedOn w:val="38"/>
    <w:qFormat/>
    <w:uiPriority w:val="99"/>
    <w:pPr>
      <w:spacing w:after="0" w:line="240" w:lineRule="auto"/>
    </w:pPr>
    <w:rPr>
      <w:color w:val="404040"/>
    </w:rPr>
    <w:tblStylePr w:type="firstRow">
      <w:rPr>
        <w:rFonts w:ascii="Arial" w:hAnsi="Arial"/>
        <w:color w:val="F2F2F2"/>
        <w:sz w:val="22"/>
      </w:rPr>
      <w:tcPr>
        <w:shd w:val="clear" w:color="FFD864" w:themeColor="accent4" w:themeTint="9A" w:fill="FFD864" w:themeFill="accent4" w:themeFillTint="9A"/>
      </w:tcPr>
    </w:tblStylePr>
    <w:tblStylePr w:type="lastRow">
      <w:rPr>
        <w:rFonts w:ascii="Arial" w:hAnsi="Arial"/>
        <w:color w:val="F2F2F2"/>
        <w:sz w:val="22"/>
      </w:rPr>
      <w:tcPr>
        <w:shd w:val="clear" w:color="FFD864" w:themeColor="accent4" w:themeTint="9A" w:fill="FFD864" w:themeFill="accent4" w:themeFillTint="9A"/>
      </w:tcPr>
    </w:tblStylePr>
    <w:tblStylePr w:type="firstCol">
      <w:rPr>
        <w:rFonts w:ascii="Arial" w:hAnsi="Arial"/>
        <w:color w:val="F2F2F2"/>
        <w:sz w:val="22"/>
      </w:rPr>
      <w:tcPr>
        <w:shd w:val="clear" w:color="FFD864" w:themeColor="accent4" w:themeTint="9A" w:fill="FFD864" w:themeFill="accent4" w:themeFillTint="9A"/>
      </w:tcPr>
    </w:tblStylePr>
    <w:tblStylePr w:type="lastCol">
      <w:rPr>
        <w:rFonts w:ascii="Arial" w:hAnsi="Arial"/>
        <w:color w:val="F2F2F2"/>
        <w:sz w:val="22"/>
      </w:rPr>
      <w:tcPr>
        <w:shd w:val="clear" w:color="FFD864" w:themeColor="accent4" w:themeTint="9A"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EF2CA" w:themeColor="accent4" w:themeTint="34" w:fill="FEF2CA" w:themeFill="accent4" w:themeFillTint="34"/>
      </w:tcPr>
    </w:tblStylePr>
  </w:style>
  <w:style w:type="table" w:customStyle="1" w:styleId="185">
    <w:name w:val="Lined - Accent 5"/>
    <w:basedOn w:val="38"/>
    <w:qFormat/>
    <w:uiPriority w:val="99"/>
    <w:pPr>
      <w:spacing w:after="0" w:line="240" w:lineRule="auto"/>
    </w:pPr>
    <w:rPr>
      <w:color w:val="404040"/>
    </w:rPr>
    <w:tblStylePr w:type="firstRow">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tblStylePr w:type="firstCol">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8E2F2" w:themeColor="accent5" w:themeTint="34" w:fill="D8E2F2" w:themeFill="accent5" w:themeFillTint="34"/>
      </w:tcPr>
    </w:tblStylePr>
  </w:style>
  <w:style w:type="table" w:customStyle="1" w:styleId="186">
    <w:name w:val="Lined - Accent 6"/>
    <w:basedOn w:val="38"/>
    <w:qFormat/>
    <w:uiPriority w:val="99"/>
    <w:pPr>
      <w:spacing w:after="0" w:line="240" w:lineRule="auto"/>
    </w:pPr>
    <w:rPr>
      <w:color w:val="404040"/>
    </w:r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customStyle="1" w:styleId="187">
    <w:name w:val="Bordered &amp; Lined - Accent"/>
    <w:basedOn w:val="38"/>
    <w:qFormat/>
    <w:uiPriority w:val="99"/>
    <w:pPr>
      <w:spacing w:after="0" w:line="240" w:lineRule="auto"/>
    </w:pPr>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88">
    <w:name w:val="Bordered &amp; Lined - Accent 1"/>
    <w:basedOn w:val="38"/>
    <w:qFormat/>
    <w:uiPriority w:val="99"/>
    <w:pPr>
      <w:spacing w:after="0" w:line="240" w:lineRule="auto"/>
    </w:pPr>
    <w:rPr>
      <w:color w:val="404040"/>
    </w:rPr>
    <w:tblPr>
      <w:tblBorders>
        <w:top w:val="single" w:color="245B8D" w:themeColor="accent1" w:themeShade="95" w:sz="4" w:space="0"/>
        <w:left w:val="single" w:color="245B8D" w:themeColor="accent1" w:themeShade="95" w:sz="4" w:space="0"/>
        <w:bottom w:val="single" w:color="245B8D" w:themeColor="accent1" w:themeShade="95" w:sz="4" w:space="0"/>
        <w:right w:val="single" w:color="245B8D" w:themeColor="accent1" w:themeShade="95" w:sz="4" w:space="0"/>
        <w:insideH w:val="single" w:color="245B8D" w:themeColor="accent1" w:themeShade="95" w:sz="4" w:space="0"/>
        <w:insideV w:val="single" w:color="245B8D" w:themeColor="accent1" w:themeShade="95" w:sz="4" w:space="0"/>
      </w:tblBorders>
    </w:tblPr>
    <w:tblStylePr w:type="firstRow">
      <w:rPr>
        <w:rFonts w:ascii="Arial" w:hAnsi="Arial"/>
        <w:color w:val="F2F2F2"/>
        <w:sz w:val="22"/>
      </w:rPr>
      <w:tcPr>
        <w:shd w:val="clear" w:color="68A3D8" w:themeColor="accent1" w:themeTint="EA" w:fill="68A3D8" w:themeFill="accent1" w:themeFillTint="EA"/>
      </w:tcPr>
    </w:tblStylePr>
    <w:tblStylePr w:type="lastRow">
      <w:rPr>
        <w:rFonts w:ascii="Arial" w:hAnsi="Arial"/>
        <w:color w:val="F2F2F2"/>
        <w:sz w:val="22"/>
      </w:rPr>
      <w:tcPr>
        <w:shd w:val="clear" w:color="68A3D8" w:themeColor="accent1" w:themeTint="EA" w:fill="68A3D8" w:themeFill="accent1" w:themeFillTint="EA"/>
      </w:tcPr>
    </w:tblStylePr>
    <w:tblStylePr w:type="firstCol">
      <w:rPr>
        <w:rFonts w:ascii="Arial" w:hAnsi="Arial"/>
        <w:color w:val="F2F2F2"/>
        <w:sz w:val="22"/>
      </w:rPr>
      <w:tcPr>
        <w:shd w:val="clear" w:color="68A3D8" w:themeColor="accent1" w:themeTint="EA" w:fill="68A3D8" w:themeFill="accent1" w:themeFillTint="EA"/>
      </w:tcPr>
    </w:tblStylePr>
    <w:tblStylePr w:type="lastCol">
      <w:rPr>
        <w:rFonts w:ascii="Arial" w:hAnsi="Arial"/>
        <w:color w:val="F2F2F2"/>
        <w:sz w:val="22"/>
      </w:rPr>
      <w:tcPr>
        <w:shd w:val="clear" w:color="68A3D8" w:themeColor="accent1" w:themeTint="EA"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style>
  <w:style w:type="table" w:customStyle="1" w:styleId="189">
    <w:name w:val="Bordered &amp; Lined - Accent 2"/>
    <w:basedOn w:val="38"/>
    <w:qFormat/>
    <w:uiPriority w:val="99"/>
    <w:pPr>
      <w:spacing w:after="0" w:line="240" w:lineRule="auto"/>
    </w:pPr>
    <w:rPr>
      <w:color w:val="404040"/>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firstRow">
      <w:rPr>
        <w:rFonts w:ascii="Arial" w:hAnsi="Arial"/>
        <w:color w:val="F2F2F2"/>
        <w:sz w:val="22"/>
      </w:rPr>
      <w:tcPr>
        <w:shd w:val="clear" w:color="F4B285" w:themeColor="accent2" w:themeTint="97" w:fill="F4B285" w:themeFill="accent2" w:themeFillTint="97"/>
      </w:tcPr>
    </w:tblStylePr>
    <w:tblStylePr w:type="lastRow">
      <w:rPr>
        <w:rFonts w:ascii="Arial" w:hAnsi="Arial"/>
        <w:color w:val="F2F2F2"/>
        <w:sz w:val="22"/>
      </w:rPr>
      <w:tcPr>
        <w:shd w:val="clear" w:color="F4B285" w:themeColor="accent2" w:themeTint="97" w:fill="F4B285" w:themeFill="accent2" w:themeFillTint="97"/>
      </w:tcPr>
    </w:tblStylePr>
    <w:tblStylePr w:type="firstCol">
      <w:rPr>
        <w:rFonts w:ascii="Arial" w:hAnsi="Arial"/>
        <w:color w:val="F2F2F2"/>
        <w:sz w:val="22"/>
      </w:rPr>
      <w:tcPr>
        <w:shd w:val="clear" w:color="F4B285" w:themeColor="accent2" w:themeTint="97" w:fill="F4B285" w:themeFill="accent2" w:themeFillTint="97"/>
      </w:tcPr>
    </w:tblStylePr>
    <w:tblStylePr w:type="lastCol">
      <w:rPr>
        <w:rFonts w:ascii="Arial" w:hAnsi="Arial"/>
        <w:color w:val="F2F2F2"/>
        <w:sz w:val="22"/>
      </w:rPr>
      <w:tcPr>
        <w:shd w:val="clear" w:color="F4B285" w:themeColor="accent2" w:themeTint="97"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customStyle="1" w:styleId="190">
    <w:name w:val="Bordered &amp; Lined - Accent 3"/>
    <w:basedOn w:val="38"/>
    <w:qFormat/>
    <w:uiPriority w:val="99"/>
    <w:pPr>
      <w:spacing w:after="0" w:line="240" w:lineRule="auto"/>
    </w:pPr>
    <w:rPr>
      <w:color w:val="404040"/>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customStyle="1" w:styleId="191">
    <w:name w:val="Bordered &amp; Lined - Accent 4"/>
    <w:basedOn w:val="38"/>
    <w:qFormat/>
    <w:uiPriority w:val="99"/>
    <w:pPr>
      <w:spacing w:after="0" w:line="240" w:lineRule="auto"/>
    </w:pPr>
    <w:rPr>
      <w:color w:val="404040"/>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Pr>
    <w:tblStylePr w:type="firstRow">
      <w:rPr>
        <w:rFonts w:ascii="Arial" w:hAnsi="Arial"/>
        <w:color w:val="F2F2F2"/>
        <w:sz w:val="22"/>
      </w:rPr>
      <w:tcPr>
        <w:shd w:val="clear" w:color="FFD864" w:themeColor="accent4" w:themeTint="9A" w:fill="FFD864" w:themeFill="accent4" w:themeFillTint="9A"/>
      </w:tcPr>
    </w:tblStylePr>
    <w:tblStylePr w:type="lastRow">
      <w:rPr>
        <w:rFonts w:ascii="Arial" w:hAnsi="Arial"/>
        <w:color w:val="F2F2F2"/>
        <w:sz w:val="22"/>
      </w:rPr>
      <w:tcPr>
        <w:shd w:val="clear" w:color="FFD864" w:themeColor="accent4" w:themeTint="9A" w:fill="FFD864" w:themeFill="accent4" w:themeFillTint="9A"/>
      </w:tcPr>
    </w:tblStylePr>
    <w:tblStylePr w:type="firstCol">
      <w:rPr>
        <w:rFonts w:ascii="Arial" w:hAnsi="Arial"/>
        <w:color w:val="F2F2F2"/>
        <w:sz w:val="22"/>
      </w:rPr>
      <w:tcPr>
        <w:shd w:val="clear" w:color="FFD864" w:themeColor="accent4" w:themeTint="9A" w:fill="FFD864" w:themeFill="accent4" w:themeFillTint="9A"/>
      </w:tcPr>
    </w:tblStylePr>
    <w:tblStylePr w:type="lastCol">
      <w:rPr>
        <w:rFonts w:ascii="Arial" w:hAnsi="Arial"/>
        <w:color w:val="F2F2F2"/>
        <w:sz w:val="22"/>
      </w:rPr>
      <w:tcPr>
        <w:shd w:val="clear" w:color="FFD864" w:themeColor="accent4" w:themeTint="9A"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EF2CA" w:themeColor="accent4" w:themeTint="34" w:fill="FEF2CA" w:themeFill="accent4" w:themeFillTint="34"/>
      </w:tcPr>
    </w:tblStylePr>
  </w:style>
  <w:style w:type="table" w:customStyle="1" w:styleId="192">
    <w:name w:val="Bordered &amp; Lined - Accent 5"/>
    <w:basedOn w:val="38"/>
    <w:qFormat/>
    <w:uiPriority w:val="99"/>
    <w:pPr>
      <w:spacing w:after="0" w:line="240" w:lineRule="auto"/>
    </w:pPr>
    <w:rPr>
      <w:color w:val="404040"/>
    </w:rPr>
    <w:tblPr>
      <w:tblBorders>
        <w:top w:val="single" w:color="244175" w:themeColor="accent5" w:themeShade="95" w:sz="4" w:space="0"/>
        <w:left w:val="single" w:color="244175" w:themeColor="accent5" w:themeShade="95" w:sz="4" w:space="0"/>
        <w:bottom w:val="single" w:color="244175" w:themeColor="accent5" w:themeShade="95" w:sz="4" w:space="0"/>
        <w:right w:val="single" w:color="244175" w:themeColor="accent5" w:themeShade="95" w:sz="4" w:space="0"/>
        <w:insideH w:val="single" w:color="244175" w:themeColor="accent5" w:themeShade="95" w:sz="4" w:space="0"/>
        <w:insideV w:val="single" w:color="244175" w:themeColor="accent5" w:themeShade="95" w:sz="4" w:space="0"/>
      </w:tblBorders>
    </w:tblPr>
    <w:tblStylePr w:type="firstRow">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tblStylePr w:type="firstCol">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8E2F2" w:themeColor="accent5" w:themeTint="34" w:fill="D8E2F2" w:themeFill="accent5" w:themeFillTint="34"/>
      </w:tcPr>
    </w:tblStylePr>
  </w:style>
  <w:style w:type="table" w:customStyle="1" w:styleId="193">
    <w:name w:val="Bordered &amp; Lined - Accent 6"/>
    <w:basedOn w:val="38"/>
    <w:qFormat/>
    <w:uiPriority w:val="99"/>
    <w:pPr>
      <w:spacing w:after="0" w:line="240" w:lineRule="auto"/>
    </w:pPr>
    <w:rPr>
      <w:color w:val="404040"/>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customStyle="1" w:styleId="194">
    <w:name w:val="Bordered"/>
    <w:basedOn w:val="38"/>
    <w:qFormat/>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95">
    <w:name w:val="Bordered - Accent 1"/>
    <w:basedOn w:val="38"/>
    <w:qFormat/>
    <w:uiPriority w:val="99"/>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rFonts w:ascii="Arial" w:hAnsi="Arial"/>
        <w:color w:val="404040"/>
        <w:sz w:val="22"/>
      </w:rPr>
      <w:tcPr>
        <w:tcBorders>
          <w:bottom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5B9BD5" w:themeColor="accent1" w:sz="12" w:space="0"/>
        </w:tcBorders>
      </w:tc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196">
    <w:name w:val="Bordered - Accent 2"/>
    <w:basedOn w:val="38"/>
    <w:qFormat/>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rFonts w:ascii="Arial" w:hAnsi="Arial"/>
        <w:color w:val="404040"/>
        <w:sz w:val="22"/>
      </w:rPr>
      <w:tcPr>
        <w:tcBorders>
          <w:bottom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285"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197">
    <w:name w:val="Bordered - Accent 3"/>
    <w:basedOn w:val="38"/>
    <w:qFormat/>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198">
    <w:name w:val="Bordered - Accent 4"/>
    <w:basedOn w:val="38"/>
    <w:qFormat/>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rFonts w:ascii="Arial" w:hAnsi="Arial"/>
        <w:color w:val="404040"/>
        <w:sz w:val="22"/>
      </w:rPr>
      <w:tcPr>
        <w:tcBorders>
          <w:bottom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4" w:themeColor="accent4" w:themeTint="9A" w:sz="12" w:space="0"/>
        </w:tcBorders>
      </w:tc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199">
    <w:name w:val="Bordered - Accent 5"/>
    <w:basedOn w:val="38"/>
    <w:qFormat/>
    <w:uiPriority w:val="99"/>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rFonts w:ascii="Arial" w:hAnsi="Arial"/>
        <w:color w:val="404040"/>
        <w:sz w:val="22"/>
      </w:rPr>
      <w:tcPr>
        <w:tcBorders>
          <w:bottom w:val="single" w:color="8EA9DB" w:themeColor="accent5" w:themeTint="9A" w:sz="12" w:space="0"/>
        </w:tcBorders>
      </w:tcPr>
    </w:tblStylePr>
    <w:tblStylePr w:type="lastRow">
      <w:rPr>
        <w:rFonts w:ascii="Arial" w:hAnsi="Arial"/>
        <w:color w:val="404040"/>
        <w:sz w:val="22"/>
      </w:rPr>
      <w:tcPr>
        <w:tcBorders>
          <w:top w:val="single" w:color="8EA9DB"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8EA9DB" w:themeColor="accent5" w:themeTint="9A" w:sz="12" w:space="0"/>
        </w:tcBorders>
      </w:tc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200">
    <w:name w:val="Bordered - Accent 6"/>
    <w:basedOn w:val="38"/>
    <w:qFormat/>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customStyle="1" w:styleId="201">
    <w:name w:val="Текст виноски Знак"/>
    <w:link w:val="17"/>
    <w:qFormat/>
    <w:uiPriority w:val="99"/>
    <w:rPr>
      <w:sz w:val="18"/>
    </w:rPr>
  </w:style>
  <w:style w:type="character" w:customStyle="1" w:styleId="202">
    <w:name w:val="Текст кінцевої виноски Знак"/>
    <w:link w:val="15"/>
    <w:qFormat/>
    <w:uiPriority w:val="99"/>
    <w:rPr>
      <w:sz w:val="20"/>
    </w:rPr>
  </w:style>
  <w:style w:type="paragraph" w:customStyle="1" w:styleId="203">
    <w:name w:val="Заголовок змісту1"/>
    <w:unhideWhenUsed/>
    <w:qFormat/>
    <w:uiPriority w:val="39"/>
    <w:pPr>
      <w:spacing w:after="160" w:line="259" w:lineRule="auto"/>
    </w:pPr>
    <w:rPr>
      <w:rFonts w:asciiTheme="minorHAnsi" w:hAnsiTheme="minorHAnsi" w:eastAsiaTheme="minorHAnsi" w:cstheme="minorBidi"/>
      <w:sz w:val="22"/>
      <w:szCs w:val="22"/>
      <w:lang w:val="uk-UA" w:eastAsia="en-US" w:bidi="ar-SA"/>
    </w:rPr>
  </w:style>
  <w:style w:type="paragraph" w:customStyle="1" w:styleId="204">
    <w:name w:val="Абзац списку1"/>
    <w:basedOn w:val="1"/>
    <w:qFormat/>
    <w:uiPriority w:val="34"/>
    <w:pPr>
      <w:ind w:left="720"/>
      <w:contextualSpacing/>
    </w:pPr>
  </w:style>
  <w:style w:type="character" w:customStyle="1" w:styleId="205">
    <w:name w:val="Текст примітки Знак"/>
    <w:basedOn w:val="32"/>
    <w:link w:val="13"/>
    <w:semiHidden/>
    <w:qFormat/>
    <w:uiPriority w:val="99"/>
    <w:rPr>
      <w:rFonts w:ascii="Times New Roman" w:hAnsi="Times New Roman" w:eastAsia="Times New Roman" w:cs="Times New Roman"/>
      <w:sz w:val="20"/>
      <w:szCs w:val="20"/>
      <w:lang w:eastAsia="zh-CN"/>
    </w:rPr>
  </w:style>
  <w:style w:type="table" w:customStyle="1" w:styleId="206">
    <w:name w:val="StGen4"/>
    <w:basedOn w:val="38"/>
    <w:qFormat/>
    <w:uiPriority w:val="0"/>
    <w:pPr>
      <w:spacing w:after="0" w:line="240" w:lineRule="auto"/>
      <w:jc w:val="both"/>
    </w:pPr>
    <w:rPr>
      <w:rFonts w:eastAsia="Times New Roman"/>
      <w:sz w:val="28"/>
      <w:szCs w:val="28"/>
      <w:lang w:eastAsia="zh-CN"/>
    </w:rPr>
  </w:style>
  <w:style w:type="table" w:customStyle="1" w:styleId="207">
    <w:name w:val="StGen5"/>
    <w:basedOn w:val="38"/>
    <w:qFormat/>
    <w:uiPriority w:val="0"/>
    <w:pPr>
      <w:spacing w:after="0" w:line="240" w:lineRule="auto"/>
      <w:jc w:val="both"/>
    </w:pPr>
    <w:rPr>
      <w:rFonts w:eastAsia="Times New Roman"/>
      <w:sz w:val="28"/>
      <w:szCs w:val="28"/>
      <w:lang w:eastAsia="zh-CN"/>
    </w:rPr>
  </w:style>
  <w:style w:type="table" w:customStyle="1" w:styleId="208">
    <w:name w:val="StGen6"/>
    <w:basedOn w:val="38"/>
    <w:qFormat/>
    <w:uiPriority w:val="0"/>
    <w:pPr>
      <w:spacing w:after="0" w:line="240" w:lineRule="auto"/>
      <w:jc w:val="both"/>
    </w:pPr>
    <w:rPr>
      <w:rFonts w:eastAsia="Times New Roman"/>
      <w:sz w:val="28"/>
      <w:szCs w:val="28"/>
      <w:lang w:eastAsia="zh-CN"/>
    </w:rPr>
  </w:style>
  <w:style w:type="table" w:customStyle="1" w:styleId="209">
    <w:name w:val="StGen7"/>
    <w:basedOn w:val="38"/>
    <w:qFormat/>
    <w:uiPriority w:val="0"/>
    <w:pPr>
      <w:spacing w:after="0" w:line="240" w:lineRule="auto"/>
      <w:jc w:val="both"/>
    </w:pPr>
    <w:rPr>
      <w:rFonts w:eastAsia="Times New Roman"/>
      <w:sz w:val="28"/>
      <w:szCs w:val="28"/>
      <w:lang w:eastAsia="zh-CN"/>
    </w:rPr>
  </w:style>
  <w:style w:type="character" w:customStyle="1" w:styleId="210">
    <w:name w:val="Текст у виносці Знак"/>
    <w:basedOn w:val="32"/>
    <w:link w:val="11"/>
    <w:semiHidden/>
    <w:qFormat/>
    <w:uiPriority w:val="99"/>
    <w:rPr>
      <w:rFonts w:ascii="Segoe UI" w:hAnsi="Segoe UI" w:eastAsia="Times New Roman" w:cs="Segoe UI"/>
      <w:sz w:val="18"/>
      <w:szCs w:val="18"/>
      <w:lang w:eastAsia="zh-CN"/>
    </w:rPr>
  </w:style>
  <w:style w:type="character" w:customStyle="1" w:styleId="211">
    <w:name w:val="Тема примітки Знак"/>
    <w:basedOn w:val="205"/>
    <w:link w:val="14"/>
    <w:semiHidden/>
    <w:qFormat/>
    <w:uiPriority w:val="99"/>
    <w:rPr>
      <w:rFonts w:ascii="Times New Roman" w:hAnsi="Times New Roman" w:eastAsia="Times New Roman" w:cs="Times New Roman"/>
      <w:b/>
      <w:bCs/>
      <w:sz w:val="20"/>
      <w:szCs w:val="20"/>
      <w:lang w:eastAsia="zh-CN"/>
    </w:rPr>
  </w:style>
  <w:style w:type="table" w:customStyle="1" w:styleId="212">
    <w:name w:val="Table Normal1"/>
    <w:qFormat/>
    <w:uiPriority w:val="0"/>
    <w:tblPr>
      <w:tblCellMar>
        <w:top w:w="0" w:type="dxa"/>
        <w:left w:w="0" w:type="dxa"/>
        <w:bottom w:w="0" w:type="dxa"/>
        <w:right w:w="0" w:type="dxa"/>
      </w:tblCellMar>
    </w:tblPr>
  </w:style>
  <w:style w:type="paragraph" w:customStyle="1" w:styleId="213">
    <w:name w:val="Редакція1"/>
    <w:hidden/>
    <w:semiHidden/>
    <w:qFormat/>
    <w:uiPriority w:val="99"/>
    <w:pPr>
      <w:spacing w:after="0" w:line="240" w:lineRule="auto"/>
    </w:pPr>
    <w:rPr>
      <w:rFonts w:ascii="Times New Roman" w:hAnsi="Times New Roman" w:eastAsia="Times New Roman" w:cs="Times New Roman"/>
      <w:sz w:val="28"/>
      <w:szCs w:val="28"/>
      <w:lang w:val="uk-UA" w:eastAsia="zh-CN" w:bidi="ar-SA"/>
    </w:rPr>
  </w:style>
  <w:style w:type="paragraph" w:customStyle="1" w:styleId="214">
    <w:name w:val="Абзац списку2"/>
    <w:basedOn w:val="1"/>
    <w:qFormat/>
    <w:uiPriority w:val="99"/>
    <w:pPr>
      <w:ind w:left="720"/>
      <w:contextualSpacing/>
    </w:pPr>
  </w:style>
  <w:style w:type="paragraph" w:customStyle="1" w:styleId="215">
    <w:name w:val="rvps2"/>
    <w:basedOn w:val="1"/>
    <w:qFormat/>
    <w:uiPriority w:val="0"/>
    <w:pPr>
      <w:spacing w:before="100" w:beforeAutospacing="1" w:after="100" w:afterAutospacing="1"/>
      <w:jc w:val="left"/>
    </w:pPr>
    <w:rPr>
      <w:sz w:val="24"/>
      <w:szCs w:val="24"/>
      <w:lang w:eastAsia="uk-UA"/>
    </w:rPr>
  </w:style>
  <w:style w:type="character" w:customStyle="1" w:styleId="216">
    <w:name w:val="Unresolved Mention1"/>
    <w:basedOn w:val="32"/>
    <w:unhideWhenUsed/>
    <w:qFormat/>
    <w:uiPriority w:val="99"/>
    <w:rPr>
      <w:color w:val="605E5C"/>
      <w:shd w:val="clear" w:color="auto" w:fill="E1DFDD"/>
    </w:rPr>
  </w:style>
  <w:style w:type="paragraph" w:customStyle="1" w:styleId="217">
    <w:name w:val="Абзац списку3"/>
    <w:basedOn w:val="1"/>
    <w:qFormat/>
    <w:uiPriority w:val="99"/>
    <w:pPr>
      <w:ind w:left="720"/>
      <w:contextualSpacing/>
    </w:pPr>
  </w:style>
  <w:style w:type="paragraph" w:customStyle="1" w:styleId="218">
    <w:name w:val="Редакція2"/>
    <w:hidden/>
    <w:semiHidden/>
    <w:qFormat/>
    <w:uiPriority w:val="99"/>
    <w:pPr>
      <w:spacing w:after="0" w:line="240" w:lineRule="auto"/>
    </w:pPr>
    <w:rPr>
      <w:rFonts w:ascii="Times New Roman" w:hAnsi="Times New Roman" w:eastAsia="Times New Roman" w:cs="Times New Roman"/>
      <w:sz w:val="28"/>
      <w:szCs w:val="28"/>
      <w:lang w:val="uk-UA" w:eastAsia="zh-CN" w:bidi="ar-SA"/>
    </w:rPr>
  </w:style>
  <w:style w:type="paragraph" w:customStyle="1" w:styleId="219">
    <w:name w:val="rvps7"/>
    <w:basedOn w:val="1"/>
    <w:qFormat/>
    <w:uiPriority w:val="0"/>
    <w:pPr>
      <w:spacing w:before="100" w:beforeAutospacing="1" w:after="100" w:afterAutospacing="1"/>
      <w:jc w:val="left"/>
    </w:pPr>
    <w:rPr>
      <w:sz w:val="24"/>
      <w:szCs w:val="24"/>
      <w:lang w:eastAsia="uk-UA"/>
    </w:rPr>
  </w:style>
  <w:style w:type="character" w:customStyle="1" w:styleId="220">
    <w:name w:val="rvts15"/>
    <w:basedOn w:val="32"/>
    <w:qFormat/>
    <w:uiPriority w:val="0"/>
  </w:style>
  <w:style w:type="paragraph" w:customStyle="1" w:styleId="221">
    <w:name w:val="Абзац списку4"/>
    <w:basedOn w:val="1"/>
    <w:link w:val="222"/>
    <w:qFormat/>
    <w:uiPriority w:val="34"/>
    <w:pPr>
      <w:ind w:left="720"/>
      <w:contextualSpacing/>
    </w:pPr>
  </w:style>
  <w:style w:type="character" w:customStyle="1" w:styleId="222">
    <w:name w:val="Абзац списку Знак"/>
    <w:link w:val="221"/>
    <w:qFormat/>
    <w:locked/>
    <w:uiPriority w:val="34"/>
    <w:rPr>
      <w:rFonts w:eastAsia="Times New Roman"/>
      <w:sz w:val="28"/>
      <w:szCs w:val="28"/>
      <w:lang w:eastAsia="zh-CN"/>
    </w:rPr>
  </w:style>
  <w:style w:type="paragraph" w:customStyle="1" w:styleId="223">
    <w:name w:val="Абзац списку5"/>
    <w:basedOn w:val="1"/>
    <w:qFormat/>
    <w:uiPriority w:val="99"/>
    <w:pPr>
      <w:ind w:left="720"/>
      <w:contextualSpacing/>
    </w:pPr>
  </w:style>
  <w:style w:type="paragraph" w:customStyle="1" w:styleId="224">
    <w:name w:val="Абзац списку6"/>
    <w:basedOn w:val="1"/>
    <w:qFormat/>
    <w:uiPriority w:val="99"/>
    <w:pPr>
      <w:ind w:left="720"/>
      <w:contextualSpacing/>
    </w:pPr>
  </w:style>
  <w:style w:type="paragraph" w:customStyle="1" w:styleId="225">
    <w:name w:val="Revision"/>
    <w:hidden/>
    <w:semiHidden/>
    <w:qFormat/>
    <w:uiPriority w:val="99"/>
    <w:pPr>
      <w:spacing w:after="0" w:line="240" w:lineRule="auto"/>
    </w:pPr>
    <w:rPr>
      <w:rFonts w:ascii="Times New Roman" w:hAnsi="Times New Roman" w:eastAsia="Times New Roman" w:cs="Times New Roman"/>
      <w:sz w:val="28"/>
      <w:szCs w:val="28"/>
      <w:lang w:val="uk-UA" w:eastAsia="zh-CN" w:bidi="ar-SA"/>
    </w:rPr>
  </w:style>
  <w:style w:type="paragraph" w:customStyle="1" w:styleId="226">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NBU</Company>
  <Pages>9</Pages>
  <Words>2580</Words>
  <Characters>16922</Characters>
  <Lines>60</Lines>
  <Paragraphs>39</Paragraphs>
  <ScaleCrop>false</ScaleCrop>
  <LinksUpToDate>false</LinksUpToDate>
  <CharactersWithSpaces>19395</CharactersWithSpaces>
  <Application>WPS Office_3.2.0.6370_F1E327BC-269C-435d-A152-05C5408002CA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2022-08-11T16:51:00Z</dcterms:created>
  <dc:creator>Яцюта Людмила Андріївна</dc:creator>
  <cp:lastModifiedBy>irynapinchuk012725</cp:lastModifiedBy>
  <dcterms:modified xsi:type="dcterms:W3CDTF">2022-08-14T21:13:11Z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