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EBB" w:rsidRPr="00A33731" w:rsidRDefault="00A33731">
      <w:pPr>
        <w:jc w:val="right"/>
        <w:rPr>
          <w:sz w:val="2"/>
          <w:szCs w:val="2"/>
        </w:rPr>
      </w:pPr>
      <w:proofErr w:type="spellStart"/>
      <w:r w:rsidRPr="00A33731">
        <w:rPr>
          <w:sz w:val="2"/>
          <w:szCs w:val="2"/>
        </w:rPr>
        <w:t>О</w:t>
      </w:r>
      <w:r w:rsidRPr="00A33731">
        <w:t>Офі</w:t>
      </w:r>
      <w:r>
        <w:t>ц</w:t>
      </w:r>
      <w:bookmarkStart w:id="0" w:name="_GoBack"/>
      <w:bookmarkEnd w:id="0"/>
      <w:r w:rsidRPr="00A33731">
        <w:t>ійно</w:t>
      </w:r>
      <w:proofErr w:type="spellEnd"/>
      <w:r w:rsidRPr="00A33731">
        <w:t xml:space="preserve"> опубліковано 22.04.2022</w:t>
      </w:r>
    </w:p>
    <w:p w:rsidR="00657EBB" w:rsidRPr="00A33731" w:rsidRDefault="00657EBB">
      <w:pPr>
        <w:rPr>
          <w:sz w:val="2"/>
          <w:szCs w:val="2"/>
        </w:rPr>
      </w:pPr>
    </w:p>
    <w:tbl>
      <w:tblPr>
        <w:tblStyle w:val="StGen4"/>
        <w:tblW w:w="963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08"/>
        <w:gridCol w:w="3226"/>
        <w:gridCol w:w="3204"/>
      </w:tblGrid>
      <w:tr w:rsidR="00657EBB" w:rsidRPr="00A33731">
        <w:trPr>
          <w:trHeight w:val="851"/>
        </w:trPr>
        <w:tc>
          <w:tcPr>
            <w:tcW w:w="3208" w:type="dxa"/>
          </w:tcPr>
          <w:p w:rsidR="00657EBB" w:rsidRPr="00A33731" w:rsidRDefault="00657EBB"/>
        </w:tc>
        <w:tc>
          <w:tcPr>
            <w:tcW w:w="3226" w:type="dxa"/>
            <w:vMerge w:val="restart"/>
          </w:tcPr>
          <w:p w:rsidR="00657EBB" w:rsidRPr="00A33731" w:rsidRDefault="00A33731">
            <w:pPr>
              <w:jc w:val="center"/>
            </w:pPr>
            <w:r w:rsidRPr="00A33731">
              <w:rPr>
                <w:noProof/>
                <w:lang w:eastAsia="uk-UA"/>
              </w:rPr>
              <w:drawing>
                <wp:inline distT="0" distB="0" distL="0" distR="0">
                  <wp:extent cx="426085" cy="60198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19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04" w:type="dxa"/>
          </w:tcPr>
          <w:p w:rsidR="00657EBB" w:rsidRPr="00A33731" w:rsidRDefault="00657EBB"/>
        </w:tc>
      </w:tr>
      <w:tr w:rsidR="00657EBB" w:rsidRPr="00A33731">
        <w:tc>
          <w:tcPr>
            <w:tcW w:w="3208" w:type="dxa"/>
          </w:tcPr>
          <w:p w:rsidR="00657EBB" w:rsidRPr="00A33731" w:rsidRDefault="00657EBB"/>
        </w:tc>
        <w:tc>
          <w:tcPr>
            <w:tcW w:w="3226" w:type="dxa"/>
            <w:vMerge/>
          </w:tcPr>
          <w:p w:rsidR="00657EBB" w:rsidRPr="00A33731" w:rsidRDefault="00657EBB">
            <w:pPr>
              <w:widowControl w:val="0"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left"/>
            </w:pPr>
          </w:p>
        </w:tc>
        <w:tc>
          <w:tcPr>
            <w:tcW w:w="3204" w:type="dxa"/>
          </w:tcPr>
          <w:p w:rsidR="00657EBB" w:rsidRPr="00A33731" w:rsidRDefault="00657EBB"/>
        </w:tc>
      </w:tr>
      <w:tr w:rsidR="00657EBB" w:rsidRPr="00A33731">
        <w:tc>
          <w:tcPr>
            <w:tcW w:w="9638" w:type="dxa"/>
            <w:gridSpan w:val="3"/>
          </w:tcPr>
          <w:p w:rsidR="00657EBB" w:rsidRPr="00A33731" w:rsidRDefault="00A33731">
            <w:pPr>
              <w:tabs>
                <w:tab w:val="left" w:pos="-3600"/>
              </w:tabs>
              <w:spacing w:before="120" w:after="120"/>
              <w:jc w:val="center"/>
              <w:rPr>
                <w:b/>
                <w:color w:val="006600"/>
              </w:rPr>
            </w:pPr>
            <w:r w:rsidRPr="00A33731">
              <w:rPr>
                <w:b/>
                <w:color w:val="006600"/>
              </w:rPr>
              <w:t>Правління Національного банку України</w:t>
            </w:r>
          </w:p>
          <w:p w:rsidR="00657EBB" w:rsidRPr="00A33731" w:rsidRDefault="00A33731">
            <w:pPr>
              <w:jc w:val="center"/>
            </w:pPr>
            <w:r w:rsidRPr="00A33731">
              <w:rPr>
                <w:b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:rsidR="00657EBB" w:rsidRPr="00A33731" w:rsidRDefault="00657EBB">
      <w:pPr>
        <w:rPr>
          <w:sz w:val="4"/>
          <w:szCs w:val="4"/>
        </w:rPr>
      </w:pPr>
    </w:p>
    <w:tbl>
      <w:tblPr>
        <w:tblStyle w:val="StGen5"/>
        <w:tblW w:w="9638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2643"/>
        <w:gridCol w:w="1680"/>
        <w:gridCol w:w="1892"/>
      </w:tblGrid>
      <w:tr w:rsidR="00657EBB" w:rsidRPr="00A33731">
        <w:tc>
          <w:tcPr>
            <w:tcW w:w="3423" w:type="dxa"/>
            <w:vAlign w:val="bottom"/>
          </w:tcPr>
          <w:p w:rsidR="00657EBB" w:rsidRPr="00A33731" w:rsidRDefault="00A33731">
            <w:r w:rsidRPr="00A33731">
              <w:t>20 квітня 2022 року</w:t>
            </w:r>
          </w:p>
        </w:tc>
        <w:tc>
          <w:tcPr>
            <w:tcW w:w="2643" w:type="dxa"/>
          </w:tcPr>
          <w:p w:rsidR="00657EBB" w:rsidRPr="00A33731" w:rsidRDefault="00A33731">
            <w:pPr>
              <w:spacing w:before="240"/>
              <w:jc w:val="center"/>
            </w:pPr>
            <w:r w:rsidRPr="00A33731">
              <w:rPr>
                <w:color w:val="006600"/>
              </w:rPr>
              <w:t>Київ</w:t>
            </w:r>
          </w:p>
        </w:tc>
        <w:tc>
          <w:tcPr>
            <w:tcW w:w="1680" w:type="dxa"/>
            <w:vAlign w:val="bottom"/>
          </w:tcPr>
          <w:p w:rsidR="00657EBB" w:rsidRPr="00A33731" w:rsidRDefault="00657EBB">
            <w:pPr>
              <w:jc w:val="right"/>
            </w:pPr>
          </w:p>
        </w:tc>
        <w:tc>
          <w:tcPr>
            <w:tcW w:w="1892" w:type="dxa"/>
            <w:vAlign w:val="bottom"/>
          </w:tcPr>
          <w:p w:rsidR="00657EBB" w:rsidRPr="00A33731" w:rsidRDefault="00A33731">
            <w:pPr>
              <w:jc w:val="left"/>
            </w:pPr>
            <w:r w:rsidRPr="00A33731">
              <w:t>№ 77</w:t>
            </w:r>
          </w:p>
        </w:tc>
      </w:tr>
    </w:tbl>
    <w:p w:rsidR="00657EBB" w:rsidRPr="00A33731" w:rsidRDefault="00657EBB">
      <w:pPr>
        <w:rPr>
          <w:sz w:val="2"/>
          <w:szCs w:val="2"/>
        </w:rPr>
      </w:pPr>
    </w:p>
    <w:p w:rsidR="00657EBB" w:rsidRPr="00A33731" w:rsidRDefault="00657EBB">
      <w:pPr>
        <w:ind w:firstLine="709"/>
        <w:jc w:val="center"/>
      </w:pPr>
    </w:p>
    <w:p w:rsidR="00657EBB" w:rsidRPr="00A33731" w:rsidRDefault="00657EBB">
      <w:pPr>
        <w:ind w:firstLine="709"/>
        <w:jc w:val="center"/>
      </w:pPr>
    </w:p>
    <w:p w:rsidR="00657EBB" w:rsidRPr="00A33731" w:rsidRDefault="00657EBB"/>
    <w:tbl>
      <w:tblPr>
        <w:tblStyle w:val="StGen6"/>
        <w:tblW w:w="6654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4"/>
      </w:tblGrid>
      <w:tr w:rsidR="00657EBB" w:rsidRPr="00A33731">
        <w:trPr>
          <w:jc w:val="center"/>
        </w:trPr>
        <w:tc>
          <w:tcPr>
            <w:tcW w:w="6654" w:type="dxa"/>
          </w:tcPr>
          <w:p w:rsidR="00657EBB" w:rsidRPr="00A33731" w:rsidRDefault="00A33731">
            <w:pPr>
              <w:tabs>
                <w:tab w:val="left" w:pos="840"/>
                <w:tab w:val="center" w:pos="3293"/>
              </w:tabs>
              <w:jc w:val="center"/>
            </w:pPr>
            <w:r w:rsidRPr="00A33731">
              <w:t xml:space="preserve">Про внесення змін до постанови Правління Національного банку України </w:t>
            </w:r>
          </w:p>
          <w:p w:rsidR="00657EBB" w:rsidRPr="00A33731" w:rsidRDefault="00A33731">
            <w:pPr>
              <w:tabs>
                <w:tab w:val="left" w:pos="840"/>
                <w:tab w:val="center" w:pos="3293"/>
              </w:tabs>
              <w:jc w:val="center"/>
            </w:pPr>
            <w:r w:rsidRPr="00A33731">
              <w:t xml:space="preserve">від 06 березня 2022 року № 39 </w:t>
            </w:r>
          </w:p>
          <w:p w:rsidR="00657EBB" w:rsidRPr="00A33731" w:rsidRDefault="00657EBB">
            <w:pPr>
              <w:tabs>
                <w:tab w:val="left" w:pos="840"/>
                <w:tab w:val="center" w:pos="3293"/>
              </w:tabs>
              <w:spacing w:before="240" w:after="240"/>
              <w:jc w:val="center"/>
            </w:pPr>
          </w:p>
        </w:tc>
      </w:tr>
    </w:tbl>
    <w:p w:rsidR="00657EBB" w:rsidRPr="00A33731" w:rsidRDefault="00A33731">
      <w:pPr>
        <w:spacing w:before="240" w:after="240"/>
        <w:ind w:firstLine="567"/>
        <w:rPr>
          <w:b/>
        </w:rPr>
      </w:pPr>
      <w:r w:rsidRPr="00A33731">
        <w:t xml:space="preserve">Відповідно до </w:t>
      </w:r>
      <w:r w:rsidRPr="00A33731">
        <w:t>статей 7, 15, 55</w:t>
      </w:r>
      <w:r w:rsidRPr="00A33731">
        <w:rPr>
          <w:vertAlign w:val="superscript"/>
        </w:rPr>
        <w:t>1</w:t>
      </w:r>
      <w:r w:rsidRPr="00A33731">
        <w:t>, 56 Закону України “Про Національний банк України”, статті 26 Закону України “Про кредитні спілки”, статей 19, 21, 28 Закону України “Про фінансові послуги та державне регулювання ринків фінансових послуг”, з метою забезпечення безпеки та</w:t>
      </w:r>
      <w:r w:rsidRPr="00A33731">
        <w:t xml:space="preserve"> фінансової стабільності фінансової системи і запобігання кризовим явищам у період запровадження воєнного стану Правління Національного банку України</w:t>
      </w:r>
      <w:r w:rsidRPr="00A33731">
        <w:rPr>
          <w:b/>
        </w:rPr>
        <w:t xml:space="preserve"> постановляє:</w:t>
      </w:r>
    </w:p>
    <w:p w:rsidR="00657EBB" w:rsidRPr="00A33731" w:rsidRDefault="00A33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993"/>
        </w:tabs>
        <w:ind w:firstLine="567"/>
      </w:pPr>
      <w:r w:rsidRPr="00A33731">
        <w:t>1. Постанову Правління Національного банку України від 06 березня 2022 року №</w:t>
      </w:r>
      <w:r w:rsidRPr="00A33731">
        <w:t> </w:t>
      </w:r>
      <w:r w:rsidRPr="00A33731">
        <w:t>39 “Про врегулю</w:t>
      </w:r>
      <w:r w:rsidRPr="00A33731">
        <w:t>вання діяльності учасників ринку небанківських фінансових послуг, небанківських фінансових груп, учасників платіжного ринку, колекторських компаній та юридичних осіб, які отримали ліцензію на надання банкам послуг з інкасації” (зі змінами) після пункту 20</w:t>
      </w:r>
      <w:r w:rsidRPr="00A33731">
        <w:rPr>
          <w:vertAlign w:val="superscript"/>
        </w:rPr>
        <w:t>1</w:t>
      </w:r>
      <w:r w:rsidRPr="00A33731">
        <w:t xml:space="preserve"> доповнити десятьма новими пунктами 20</w:t>
      </w:r>
      <w:r w:rsidRPr="00A33731">
        <w:rPr>
          <w:vertAlign w:val="superscript"/>
        </w:rPr>
        <w:t>2</w:t>
      </w:r>
      <w:r w:rsidRPr="00A33731">
        <w:t>–20</w:t>
      </w:r>
      <w:r w:rsidRPr="00A33731">
        <w:rPr>
          <w:vertAlign w:val="superscript"/>
        </w:rPr>
        <w:t>11</w:t>
      </w:r>
      <w:r w:rsidRPr="00A33731">
        <w:t xml:space="preserve"> такого змісту:</w:t>
      </w:r>
    </w:p>
    <w:p w:rsidR="00657EBB" w:rsidRPr="00A33731" w:rsidRDefault="00A33731">
      <w:pPr>
        <w:ind w:firstLine="567"/>
      </w:pPr>
      <w:r w:rsidRPr="00A33731">
        <w:t>“20</w:t>
      </w:r>
      <w:r w:rsidRPr="00A33731">
        <w:rPr>
          <w:vertAlign w:val="superscript"/>
        </w:rPr>
        <w:t>2</w:t>
      </w:r>
      <w:r w:rsidRPr="00A33731">
        <w:t>.</w:t>
      </w:r>
      <w:r w:rsidRPr="00A33731">
        <w:rPr>
          <w:vertAlign w:val="superscript"/>
        </w:rPr>
        <w:t xml:space="preserve"> </w:t>
      </w:r>
      <w:r w:rsidRPr="00A33731">
        <w:t xml:space="preserve">Національний банк протягом дії воєнного стану в Україні припиняє доступ користувачів  до інформації з: </w:t>
      </w:r>
    </w:p>
    <w:p w:rsidR="00657EBB" w:rsidRPr="00A33731" w:rsidRDefault="00657EBB">
      <w:pPr>
        <w:ind w:firstLine="567"/>
        <w:rPr>
          <w:highlight w:val="yellow"/>
        </w:rPr>
      </w:pPr>
    </w:p>
    <w:p w:rsidR="00657EBB" w:rsidRPr="00A33731" w:rsidRDefault="00A33731">
      <w:pPr>
        <w:pStyle w:val="16"/>
        <w:numPr>
          <w:ilvl w:val="0"/>
          <w:numId w:val="1"/>
        </w:numPr>
        <w:ind w:left="1134" w:hanging="283"/>
      </w:pPr>
      <w:r w:rsidRPr="00A33731">
        <w:t>Державного реєстру фінансових установ;</w:t>
      </w:r>
    </w:p>
    <w:p w:rsidR="00657EBB" w:rsidRPr="00A33731" w:rsidRDefault="00657EBB"/>
    <w:p w:rsidR="00657EBB" w:rsidRPr="00A33731" w:rsidRDefault="00A33731">
      <w:pPr>
        <w:pStyle w:val="16"/>
        <w:numPr>
          <w:ilvl w:val="0"/>
          <w:numId w:val="1"/>
        </w:numPr>
        <w:tabs>
          <w:tab w:val="left" w:pos="993"/>
        </w:tabs>
        <w:ind w:left="0" w:firstLine="850"/>
      </w:pPr>
      <w:r w:rsidRPr="00A33731">
        <w:t>реєстру осіб, які не є фінансовими установами</w:t>
      </w:r>
      <w:r w:rsidRPr="00A33731">
        <w:t>, але мають право надавати окремі фінансові послуги;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tabs>
          <w:tab w:val="left" w:pos="993"/>
        </w:tabs>
        <w:ind w:left="0" w:firstLine="850"/>
      </w:pPr>
      <w:r w:rsidRPr="00A33731">
        <w:t>реєстру осіб, яким видано ліцензії на здійснення валютних операцій;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tabs>
          <w:tab w:val="left" w:pos="993"/>
        </w:tabs>
        <w:ind w:left="0" w:firstLine="850"/>
      </w:pPr>
      <w:r w:rsidRPr="00A33731">
        <w:t>реєстру колекторських компаній;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tabs>
          <w:tab w:val="left" w:pos="993"/>
        </w:tabs>
        <w:ind w:left="0" w:firstLine="850"/>
      </w:pPr>
      <w:r w:rsidRPr="00A33731">
        <w:lastRenderedPageBreak/>
        <w:t xml:space="preserve">реєстру приміщень, у яких здійснюються валютні операції, що передбачають використання готівки в </w:t>
      </w:r>
      <w:r w:rsidRPr="00A33731">
        <w:t>національній та/або іноземній валютах;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>електронного реєстру осіб, яким видано сертифікат Національного банку України на право здійснення тимчасової адміністрації небанківської фінансової установи;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 xml:space="preserve">державного реєстру страхових та </w:t>
      </w:r>
      <w:proofErr w:type="spellStart"/>
      <w:r w:rsidRPr="00A33731">
        <w:t>перестрахових</w:t>
      </w:r>
      <w:proofErr w:type="spellEnd"/>
      <w:r w:rsidRPr="00A33731">
        <w:t xml:space="preserve"> брокерів;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>Єдиного реєстру бюро кредитних історій;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>переліку осіб, які отримали погодження Національного банку на набуття (збільшення) істотної участі в небанківських фінансових установах;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 xml:space="preserve">переліку власників істотної участі, які не мають права користуватися правом </w:t>
      </w:r>
      <w:r w:rsidRPr="00A33731">
        <w:t>голосу та брати участь в управлінні страховиком;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>переліку небанківських фінансових груп;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>переліку осіб, які відповідають кваліфікаційним вимогам та можуть займатися визначенням причин настання страхового випадку та розміру збитків (аварійні комісари);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>п</w:t>
      </w:r>
      <w:r w:rsidRPr="00A33731">
        <w:t xml:space="preserve">ереліку осіб, яким видано та/або анульовано свідоцтво про відповідність кваліфікаційним вимогам до осіб, які можуть займатися </w:t>
      </w:r>
      <w:proofErr w:type="spellStart"/>
      <w:r w:rsidRPr="00A33731">
        <w:t>актуарними</w:t>
      </w:r>
      <w:proofErr w:type="spellEnd"/>
      <w:r w:rsidRPr="00A33731">
        <w:t xml:space="preserve"> розрахунками;</w:t>
      </w:r>
    </w:p>
    <w:p w:rsidR="00657EBB" w:rsidRPr="00A33731" w:rsidRDefault="00657EBB"/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>переліку страхових посередників, які повідомили про намір провадити посередницьку діяльність на територі</w:t>
      </w:r>
      <w:r w:rsidRPr="00A33731">
        <w:t>ї України з укладення договорів страхування/перестрахування із страховиком-нерезидентом;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 xml:space="preserve">переліку страхових та/або </w:t>
      </w:r>
      <w:proofErr w:type="spellStart"/>
      <w:r w:rsidRPr="00A33731">
        <w:t>перестрахових</w:t>
      </w:r>
      <w:proofErr w:type="spellEnd"/>
      <w:r w:rsidRPr="00A33731">
        <w:t xml:space="preserve"> брокерів-нерезидентів, які повідомили про намір провадити діяльність на території України;</w:t>
      </w:r>
    </w:p>
    <w:p w:rsidR="00657EBB" w:rsidRPr="00A33731" w:rsidRDefault="00657EBB">
      <w:pPr>
        <w:ind w:firstLine="850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 xml:space="preserve">переліку осіб, які мають </w:t>
      </w:r>
      <w:r w:rsidRPr="00A33731">
        <w:t xml:space="preserve">сертифікат </w:t>
      </w:r>
      <w:proofErr w:type="spellStart"/>
      <w:r w:rsidRPr="00A33731">
        <w:t>Нацкомфінпослуг</w:t>
      </w:r>
      <w:proofErr w:type="spellEnd"/>
      <w:r w:rsidRPr="00A33731">
        <w:t xml:space="preserve"> на право здійснення тимчасової адміністрації відповідного виду фінансових установ;</w:t>
      </w:r>
    </w:p>
    <w:p w:rsidR="00657EBB" w:rsidRPr="00A33731" w:rsidRDefault="00657EBB">
      <w:pPr>
        <w:pStyle w:val="16"/>
      </w:pPr>
    </w:p>
    <w:p w:rsidR="00657EBB" w:rsidRPr="00A33731" w:rsidRDefault="00A33731">
      <w:pPr>
        <w:pStyle w:val="16"/>
        <w:numPr>
          <w:ilvl w:val="0"/>
          <w:numId w:val="1"/>
        </w:numPr>
        <w:ind w:left="0" w:firstLine="850"/>
      </w:pPr>
      <w:r w:rsidRPr="00A33731">
        <w:t>електронного реєстру ліцензій на надання банкам послуг з інкасації та інформації про погодження на здійснення юридичною особою операцій з обробле</w:t>
      </w:r>
      <w:r w:rsidRPr="00A33731">
        <w:t>ння та зберігання готівки.</w:t>
      </w:r>
    </w:p>
    <w:p w:rsidR="00657EBB" w:rsidRPr="00A33731" w:rsidRDefault="00657EBB">
      <w:pPr>
        <w:shd w:val="clear" w:color="auto" w:fill="FFFFFF"/>
        <w:ind w:firstLine="567"/>
      </w:pPr>
    </w:p>
    <w:p w:rsidR="00657EBB" w:rsidRPr="00A33731" w:rsidRDefault="00A33731">
      <w:pPr>
        <w:ind w:firstLine="567"/>
      </w:pPr>
      <w:r w:rsidRPr="00A33731">
        <w:lastRenderedPageBreak/>
        <w:t>20</w:t>
      </w:r>
      <w:r w:rsidRPr="00A33731">
        <w:rPr>
          <w:vertAlign w:val="superscript"/>
        </w:rPr>
        <w:t>3</w:t>
      </w:r>
      <w:r w:rsidRPr="00A33731">
        <w:t>.</w:t>
      </w:r>
      <w:r w:rsidRPr="00A33731">
        <w:rPr>
          <w:vertAlign w:val="superscript"/>
        </w:rPr>
        <w:t xml:space="preserve">  </w:t>
      </w:r>
      <w:r w:rsidRPr="00A33731">
        <w:t>Національний банк протягом дії воєнного стану в Україні припиняє (для надавачів фінансових послуг – обмежує) користувачам доступ до Комплексної інформаційної системи Національного банку України (далі – КІС НБУ). Протягом д</w:t>
      </w:r>
      <w:r w:rsidRPr="00A33731">
        <w:t>ії воєнного стану доступ до КІС НБУ надавачам фінансових послуг надається виключно за умови наявності авторизації в КІС НБУ.</w:t>
      </w:r>
    </w:p>
    <w:p w:rsidR="00657EBB" w:rsidRPr="00A33731" w:rsidRDefault="00657EBB">
      <w:pPr>
        <w:shd w:val="clear" w:color="auto" w:fill="FFFFFF"/>
        <w:ind w:firstLine="567"/>
      </w:pPr>
    </w:p>
    <w:p w:rsidR="00657EBB" w:rsidRPr="00A33731" w:rsidRDefault="00A33731">
      <w:pPr>
        <w:shd w:val="clear" w:color="auto" w:fill="FFFFFF"/>
        <w:ind w:firstLine="567"/>
        <w:rPr>
          <w:highlight w:val="yellow"/>
        </w:rPr>
      </w:pPr>
      <w:r w:rsidRPr="00A33731">
        <w:t>20</w:t>
      </w:r>
      <w:r w:rsidRPr="00A33731">
        <w:rPr>
          <w:vertAlign w:val="superscript"/>
        </w:rPr>
        <w:t>4</w:t>
      </w:r>
      <w:r w:rsidRPr="00A33731">
        <w:t>. Національний банк протягом дії воєнного стану в Україні не здійснює розміщення на сторінках офіційного Інтернет-представництв</w:t>
      </w:r>
      <w:r w:rsidRPr="00A33731">
        <w:t xml:space="preserve">а Національного банку та припиняє доступ до розміщеної інформації про структуру власності надавачів фінансових послуг та колекторських компаній. </w:t>
      </w:r>
    </w:p>
    <w:p w:rsidR="00657EBB" w:rsidRPr="00A33731" w:rsidRDefault="00657EBB">
      <w:pPr>
        <w:shd w:val="clear" w:color="auto" w:fill="FFFFFF"/>
        <w:ind w:firstLine="567"/>
      </w:pPr>
    </w:p>
    <w:p w:rsidR="00657EBB" w:rsidRPr="00A33731" w:rsidRDefault="00A33731">
      <w:pPr>
        <w:shd w:val="clear" w:color="auto" w:fill="FFFFFF"/>
        <w:ind w:firstLine="567"/>
      </w:pPr>
      <w:r w:rsidRPr="00A33731">
        <w:t>20</w:t>
      </w:r>
      <w:r w:rsidRPr="00A33731">
        <w:rPr>
          <w:vertAlign w:val="superscript"/>
        </w:rPr>
        <w:t>5</w:t>
      </w:r>
      <w:r w:rsidRPr="00A33731">
        <w:t>. Національний банк протягом дії воєнного стану в Україні надає на письмові запити державних органів, орга</w:t>
      </w:r>
      <w:r w:rsidRPr="00A33731">
        <w:t>нів місцевого самоврядування, фізичних та юридичних осіб інформацію з реєстрів та переліків, визначених у пункті 20</w:t>
      </w:r>
      <w:r w:rsidRPr="00A33731">
        <w:rPr>
          <w:vertAlign w:val="superscript"/>
        </w:rPr>
        <w:t>2</w:t>
      </w:r>
      <w:r w:rsidRPr="00A33731">
        <w:t xml:space="preserve"> цієї постанови, з КІС НБУ, а також інформацію про структуру власності надавачів фінансових послуг та колекторських компаній.</w:t>
      </w:r>
    </w:p>
    <w:p w:rsidR="00657EBB" w:rsidRPr="00A33731" w:rsidRDefault="00A33731">
      <w:pPr>
        <w:shd w:val="clear" w:color="auto" w:fill="FFFFFF"/>
        <w:ind w:firstLine="567"/>
      </w:pPr>
      <w:r w:rsidRPr="00A33731">
        <w:t>Фізичні та юри</w:t>
      </w:r>
      <w:r w:rsidRPr="00A33731">
        <w:t>дичні особи (далі – Заявник) отримують інформацію в порядку, визначеному в пунктах 20</w:t>
      </w:r>
      <w:r w:rsidRPr="00A33731">
        <w:rPr>
          <w:vertAlign w:val="superscript"/>
        </w:rPr>
        <w:t>7</w:t>
      </w:r>
      <w:r w:rsidRPr="00A33731">
        <w:t>–</w:t>
      </w:r>
      <w:r w:rsidRPr="00A33731">
        <w:t>20</w:t>
      </w:r>
      <w:r w:rsidRPr="00A33731">
        <w:rPr>
          <w:vertAlign w:val="superscript"/>
        </w:rPr>
        <w:t>9</w:t>
      </w:r>
      <w:r w:rsidRPr="00A33731">
        <w:t xml:space="preserve"> цієї постанови (не поширюється на осіб, зазначених у пункті 20</w:t>
      </w:r>
      <w:r w:rsidRPr="00A33731">
        <w:rPr>
          <w:vertAlign w:val="superscript"/>
        </w:rPr>
        <w:t>6</w:t>
      </w:r>
      <w:r w:rsidRPr="00A33731">
        <w:t xml:space="preserve"> цієї постанови).</w:t>
      </w:r>
    </w:p>
    <w:p w:rsidR="00657EBB" w:rsidRPr="00A33731" w:rsidRDefault="00657EBB">
      <w:pPr>
        <w:shd w:val="clear" w:color="auto" w:fill="FFFFFF"/>
        <w:ind w:firstLine="567"/>
      </w:pPr>
    </w:p>
    <w:p w:rsidR="00657EBB" w:rsidRPr="00A33731" w:rsidRDefault="00A33731">
      <w:pPr>
        <w:shd w:val="clear" w:color="auto" w:fill="FFFFFF"/>
        <w:ind w:firstLine="567"/>
      </w:pPr>
      <w:r w:rsidRPr="00A33731">
        <w:t>20</w:t>
      </w:r>
      <w:r w:rsidRPr="00A33731">
        <w:rPr>
          <w:vertAlign w:val="superscript"/>
        </w:rPr>
        <w:t>6</w:t>
      </w:r>
      <w:r w:rsidRPr="00A33731">
        <w:t>. Національний банк не надає інформацію з реєстрів та переліків на запити, які н</w:t>
      </w:r>
      <w:r w:rsidRPr="00A33731">
        <w:t>е відповідають вимогам цієї постанови, та запити, подані особами, які є:</w:t>
      </w:r>
    </w:p>
    <w:p w:rsidR="00657EBB" w:rsidRPr="00A33731" w:rsidRDefault="00657EBB">
      <w:pPr>
        <w:shd w:val="clear" w:color="auto" w:fill="FFFFFF"/>
        <w:ind w:firstLine="567"/>
      </w:pPr>
    </w:p>
    <w:p w:rsidR="00657EBB" w:rsidRPr="00A33731" w:rsidRDefault="00A33731">
      <w:pPr>
        <w:pStyle w:val="1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0" w:firstLine="850"/>
      </w:pPr>
      <w:r w:rsidRPr="00A33731">
        <w:t>громадянами російської федерації (не поширюється на громадян російської федерації, які проживають на території України на законних підставах);</w:t>
      </w:r>
    </w:p>
    <w:p w:rsidR="00657EBB" w:rsidRPr="00A33731" w:rsidRDefault="00657EBB">
      <w:pPr>
        <w:pStyle w:val="1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850"/>
      </w:pPr>
    </w:p>
    <w:p w:rsidR="00657EBB" w:rsidRPr="00A33731" w:rsidRDefault="00A33731">
      <w:pPr>
        <w:pStyle w:val="16"/>
        <w:numPr>
          <w:ilvl w:val="0"/>
          <w:numId w:val="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0" w:firstLine="850"/>
      </w:pPr>
      <w:r w:rsidRPr="00A33731">
        <w:t xml:space="preserve">юридичними особами, зареєстрованими </w:t>
      </w:r>
      <w:r w:rsidRPr="00A33731">
        <w:t>відповідно до законодавства російської федерації.</w:t>
      </w:r>
    </w:p>
    <w:p w:rsidR="00657EBB" w:rsidRPr="00A33731" w:rsidRDefault="00657EBB">
      <w:pPr>
        <w:shd w:val="clear" w:color="auto" w:fill="FFFFFF"/>
      </w:pPr>
    </w:p>
    <w:p w:rsidR="00657EBB" w:rsidRPr="00A33731" w:rsidRDefault="00A33731">
      <w:pPr>
        <w:shd w:val="clear" w:color="auto" w:fill="FFFFFF"/>
        <w:ind w:firstLine="567"/>
      </w:pPr>
      <w:r w:rsidRPr="00A33731">
        <w:t>20</w:t>
      </w:r>
      <w:r w:rsidRPr="00A33731">
        <w:rPr>
          <w:vertAlign w:val="superscript"/>
        </w:rPr>
        <w:t>7</w:t>
      </w:r>
      <w:r w:rsidRPr="00A33731">
        <w:t>. Запит до Національного банку подається виключно у формі електронного документа або електронної копії документа, підписаного Заявником/уповноваженим представником Заявника шляхом накладання кваліфікова</w:t>
      </w:r>
      <w:r w:rsidRPr="00A33731">
        <w:t xml:space="preserve">ного електронного підпису (далі – КЕП), – електронним повідомленням на офіційну електронну поштову скриньку Національного банку nbu@bank.gov.ua або іншими засобами електронного зв’язку, які  Національний банк використовує для електронного документообігу. </w:t>
      </w:r>
    </w:p>
    <w:p w:rsidR="00657EBB" w:rsidRPr="00A33731" w:rsidRDefault="00657EBB">
      <w:pPr>
        <w:shd w:val="clear" w:color="auto" w:fill="FFFFFF"/>
        <w:ind w:firstLine="567"/>
      </w:pPr>
    </w:p>
    <w:p w:rsidR="00657EBB" w:rsidRPr="00A33731" w:rsidRDefault="00A33731">
      <w:pPr>
        <w:shd w:val="clear" w:color="auto" w:fill="FFFFFF"/>
        <w:ind w:firstLine="567"/>
      </w:pPr>
      <w:r w:rsidRPr="00A33731">
        <w:t>20</w:t>
      </w:r>
      <w:r w:rsidRPr="00A33731">
        <w:rPr>
          <w:vertAlign w:val="superscript"/>
        </w:rPr>
        <w:t>8</w:t>
      </w:r>
      <w:r w:rsidRPr="00A33731">
        <w:t>. Запит до Національного банку повинен містити:</w:t>
      </w:r>
    </w:p>
    <w:p w:rsidR="00657EBB" w:rsidRPr="00A33731" w:rsidRDefault="00657EBB">
      <w:pPr>
        <w:shd w:val="clear" w:color="auto" w:fill="FFFFFF"/>
        <w:ind w:firstLine="567"/>
      </w:pPr>
    </w:p>
    <w:p w:rsidR="00657EBB" w:rsidRPr="00A33731" w:rsidRDefault="00A33731">
      <w:pPr>
        <w:pStyle w:val="1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851"/>
      </w:pPr>
      <w:r w:rsidRPr="00A33731">
        <w:t>перелік інформації з реєстрів та переліків, яку запитує Заявник;</w:t>
      </w:r>
    </w:p>
    <w:p w:rsidR="00657EBB" w:rsidRPr="00A33731" w:rsidRDefault="00A33731">
      <w:pPr>
        <w:pStyle w:val="1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851"/>
      </w:pPr>
      <w:r w:rsidRPr="00A33731">
        <w:lastRenderedPageBreak/>
        <w:t>обґрунтування потреби/мети в запитуваній інформації;</w:t>
      </w:r>
    </w:p>
    <w:p w:rsidR="00657EBB" w:rsidRPr="00A33731" w:rsidRDefault="00657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851"/>
      </w:pPr>
    </w:p>
    <w:p w:rsidR="00657EBB" w:rsidRPr="00A33731" w:rsidRDefault="00A33731">
      <w:pPr>
        <w:pStyle w:val="1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851"/>
      </w:pPr>
      <w:r w:rsidRPr="00A33731">
        <w:t xml:space="preserve">інформацію про Заявника [прізвище, власне ім’я, по батькові/найменування, </w:t>
      </w:r>
      <w:r w:rsidRPr="00A33731">
        <w:t>ідентифікаційний номер/код], місце реєстрації/місцезнаходження, контактний номер телефону та адреса електронної пошти Заявника (для юридичної особи зазначаються робочий номер телефону та адреса корпоративної електронної пошти керівника або іншого працівник</w:t>
      </w:r>
      <w:r w:rsidRPr="00A33731">
        <w:t>а, відповідального за запит, що подається до Національного банку);</w:t>
      </w:r>
    </w:p>
    <w:p w:rsidR="00657EBB" w:rsidRPr="00A33731" w:rsidRDefault="00657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:rsidR="00657EBB" w:rsidRPr="00A33731" w:rsidRDefault="00A33731">
      <w:pPr>
        <w:pStyle w:val="1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851"/>
      </w:pPr>
      <w:r w:rsidRPr="00A33731">
        <w:t>інформацію про представників Заявника [прізвище, власне ім’я, по батькові, контактний номер телефону, адреса електронної пошти, інформація щодо документів, на підставі яких діють представн</w:t>
      </w:r>
      <w:r w:rsidRPr="00A33731">
        <w:t>ики] (за наявності);</w:t>
      </w:r>
    </w:p>
    <w:p w:rsidR="00657EBB" w:rsidRPr="00A33731" w:rsidRDefault="00657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1134"/>
      </w:pPr>
    </w:p>
    <w:p w:rsidR="00657EBB" w:rsidRPr="00A33731" w:rsidRDefault="00A33731">
      <w:pPr>
        <w:pStyle w:val="16"/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0" w:firstLine="851"/>
      </w:pPr>
      <w:r w:rsidRPr="00A33731">
        <w:t>іншу інформацію, яка є релевантною для запиту.</w:t>
      </w:r>
    </w:p>
    <w:p w:rsidR="00657EBB" w:rsidRPr="00A33731" w:rsidRDefault="00657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sz w:val="24"/>
        </w:rPr>
      </w:pPr>
    </w:p>
    <w:p w:rsidR="00657EBB" w:rsidRPr="00A33731" w:rsidRDefault="00A3373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  <w:r w:rsidRPr="00A33731">
        <w:t>20</w:t>
      </w:r>
      <w:r w:rsidRPr="00A33731">
        <w:rPr>
          <w:vertAlign w:val="superscript"/>
        </w:rPr>
        <w:t>9</w:t>
      </w:r>
      <w:r w:rsidRPr="00A33731">
        <w:t>. Заявник до запиту повинен долучити скановані копії документів:</w:t>
      </w:r>
    </w:p>
    <w:p w:rsidR="00657EBB" w:rsidRPr="00A33731" w:rsidRDefault="00657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firstLine="567"/>
      </w:pPr>
    </w:p>
    <w:p w:rsidR="00657EBB" w:rsidRPr="00A33731" w:rsidRDefault="00A33731">
      <w:pPr>
        <w:pStyle w:val="1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0" w:firstLine="850"/>
      </w:pPr>
      <w:r w:rsidRPr="00A33731">
        <w:t>для ідентифікації особи;</w:t>
      </w:r>
    </w:p>
    <w:p w:rsidR="00657EBB" w:rsidRPr="00A33731" w:rsidRDefault="00657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850"/>
      </w:pPr>
    </w:p>
    <w:p w:rsidR="00657EBB" w:rsidRPr="00A33731" w:rsidRDefault="00A33731">
      <w:pPr>
        <w:pStyle w:val="1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0" w:firstLine="850"/>
      </w:pPr>
      <w:r w:rsidRPr="00A33731">
        <w:t xml:space="preserve">які стосуються обґрунтування потреби в запитуваній інформації з реєстрів та переліків (за </w:t>
      </w:r>
      <w:r w:rsidRPr="00A33731">
        <w:t>наявності);</w:t>
      </w:r>
    </w:p>
    <w:p w:rsidR="00657EBB" w:rsidRPr="00A33731" w:rsidRDefault="00657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850"/>
      </w:pPr>
    </w:p>
    <w:p w:rsidR="00657EBB" w:rsidRPr="00A33731" w:rsidRDefault="00A33731">
      <w:pPr>
        <w:pStyle w:val="16"/>
        <w:numPr>
          <w:ilvl w:val="0"/>
          <w:numId w:val="4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ind w:left="0" w:firstLine="850"/>
      </w:pPr>
      <w:r w:rsidRPr="00A33731">
        <w:t>які підтверджують повноваження представника Заявника (якщо Заявник діє через представників).</w:t>
      </w:r>
    </w:p>
    <w:p w:rsidR="00657EBB" w:rsidRPr="00A33731" w:rsidRDefault="00657EBB">
      <w:pPr>
        <w:shd w:val="clear" w:color="auto" w:fill="FFFFFF"/>
        <w:ind w:firstLine="567"/>
      </w:pPr>
    </w:p>
    <w:p w:rsidR="00657EBB" w:rsidRPr="00A33731" w:rsidRDefault="00A33731">
      <w:pPr>
        <w:shd w:val="clear" w:color="auto" w:fill="FFFFFF"/>
        <w:ind w:firstLine="567"/>
      </w:pPr>
      <w:r w:rsidRPr="00A33731">
        <w:t>20</w:t>
      </w:r>
      <w:r w:rsidRPr="00A33731">
        <w:rPr>
          <w:vertAlign w:val="superscript"/>
        </w:rPr>
        <w:t>10</w:t>
      </w:r>
      <w:r w:rsidRPr="00A33731">
        <w:t>. Національний банк поновлює доступ користувачів до інформації з реєстрів та переліків, визначених у пункті 20</w:t>
      </w:r>
      <w:r w:rsidRPr="00A33731">
        <w:rPr>
          <w:vertAlign w:val="superscript"/>
        </w:rPr>
        <w:t xml:space="preserve">2 </w:t>
      </w:r>
      <w:r w:rsidRPr="00A33731">
        <w:t>цієї постанови, а також до КІС НБ</w:t>
      </w:r>
      <w:r w:rsidRPr="00A33731">
        <w:t>У та інформації про структуру власності надавачів фінансових послуг та колекторських компаній протягом п’яти робочих днів із дня припинення або скасування воєнного стану в Україні.</w:t>
      </w:r>
    </w:p>
    <w:p w:rsidR="00657EBB" w:rsidRPr="00A33731" w:rsidRDefault="00657EBB">
      <w:pPr>
        <w:shd w:val="clear" w:color="auto" w:fill="FFFFFF"/>
        <w:ind w:firstLine="567"/>
      </w:pPr>
    </w:p>
    <w:p w:rsidR="00657EBB" w:rsidRPr="00A33731" w:rsidRDefault="00A33731">
      <w:pPr>
        <w:shd w:val="clear" w:color="auto" w:fill="FFFFFF"/>
        <w:ind w:firstLine="567"/>
      </w:pPr>
      <w:r w:rsidRPr="00A33731">
        <w:t>20</w:t>
      </w:r>
      <w:r w:rsidRPr="00A33731">
        <w:rPr>
          <w:vertAlign w:val="superscript"/>
        </w:rPr>
        <w:t>11</w:t>
      </w:r>
      <w:r w:rsidRPr="00A33731">
        <w:t>. Небанківські фінансові установи, юридичні особи, які не є фінансовими установами, але мають право надавати окремі фінансові послуги, колекторські компанії протягом дії воєнного стану в Україні не розміщують відомості про свою структуру власності на власн</w:t>
      </w:r>
      <w:r w:rsidRPr="00A33731">
        <w:t xml:space="preserve">их </w:t>
      </w:r>
      <w:proofErr w:type="spellStart"/>
      <w:r w:rsidRPr="00A33731">
        <w:t>вебсайтах</w:t>
      </w:r>
      <w:proofErr w:type="spellEnd"/>
      <w:r w:rsidRPr="00A33731">
        <w:t xml:space="preserve">. </w:t>
      </w:r>
    </w:p>
    <w:p w:rsidR="00657EBB" w:rsidRPr="00A33731" w:rsidRDefault="00A33731">
      <w:pPr>
        <w:shd w:val="clear" w:color="auto" w:fill="FFFFFF"/>
        <w:ind w:firstLine="567"/>
      </w:pPr>
      <w:r w:rsidRPr="00A33731">
        <w:t xml:space="preserve">Такі надавачі фінансових послуг та колекторські компанії зобов’язані розмістити відомості про свою структуру власності відповідно до пункту 39 розділу IV </w:t>
      </w:r>
      <w:hyperlink r:id="rId9" w:anchor="n18" w:tooltip="https://zakon.rada.gov.ua/laws/show/v0030500-21#n18" w:history="1">
        <w:r w:rsidRPr="00A33731">
          <w:t>Положення про вимоги до структури власності надавачів фінансових послуг</w:t>
        </w:r>
      </w:hyperlink>
      <w:r w:rsidRPr="00A33731">
        <w:t xml:space="preserve">, затвердженого постановою Правління Національного банку України від 14 квітня 2021 року № 30, та пункту 126 глави 16 розділу IV Положення про реєстрацію колекторських компаній, затвердженого постановою Правління </w:t>
      </w:r>
      <w:r w:rsidRPr="00A33731">
        <w:lastRenderedPageBreak/>
        <w:t xml:space="preserve">Національного банку України від </w:t>
      </w:r>
      <w:r w:rsidRPr="00A33731">
        <w:rPr>
          <w:highlight w:val="white"/>
        </w:rPr>
        <w:t>09 липня 20</w:t>
      </w:r>
      <w:r w:rsidRPr="00A33731">
        <w:rPr>
          <w:highlight w:val="white"/>
        </w:rPr>
        <w:t>21 року  № 75,</w:t>
      </w:r>
      <w:r w:rsidRPr="00A33731">
        <w:t xml:space="preserve"> протягом 10 робочих днів із дня припинення або скасування воєнного стану в Україні.”.</w:t>
      </w:r>
    </w:p>
    <w:p w:rsidR="00657EBB" w:rsidRPr="00A33731" w:rsidRDefault="00657EBB">
      <w:pPr>
        <w:ind w:firstLine="567"/>
      </w:pPr>
    </w:p>
    <w:p w:rsidR="00657EBB" w:rsidRPr="00A33731" w:rsidRDefault="00A33731">
      <w:pPr>
        <w:ind w:firstLine="567"/>
      </w:pPr>
      <w:r w:rsidRPr="00A33731">
        <w:t>2. Постанова набирає чинності з дня її офіційного опублікування.</w:t>
      </w:r>
    </w:p>
    <w:p w:rsidR="00657EBB" w:rsidRPr="00A33731" w:rsidRDefault="00657EB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before="240" w:after="120"/>
        <w:ind w:firstLine="567"/>
      </w:pPr>
    </w:p>
    <w:p w:rsidR="00657EBB" w:rsidRPr="00A33731" w:rsidRDefault="00657EBB">
      <w:pPr>
        <w:spacing w:after="120"/>
      </w:pPr>
    </w:p>
    <w:p w:rsidR="00657EBB" w:rsidRPr="00A33731" w:rsidRDefault="00657EBB">
      <w:pPr>
        <w:spacing w:after="120"/>
      </w:pPr>
    </w:p>
    <w:tbl>
      <w:tblPr>
        <w:tblStyle w:val="StGen7"/>
        <w:tblW w:w="9639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657EBB" w:rsidRPr="00A33731">
        <w:tc>
          <w:tcPr>
            <w:tcW w:w="5387" w:type="dxa"/>
            <w:vAlign w:val="bottom"/>
          </w:tcPr>
          <w:p w:rsidR="00657EBB" w:rsidRPr="00A33731" w:rsidRDefault="00A33731">
            <w:pPr>
              <w:jc w:val="left"/>
            </w:pPr>
            <w:r w:rsidRPr="00A33731">
              <w:t>В. о. Голови</w:t>
            </w:r>
          </w:p>
        </w:tc>
        <w:tc>
          <w:tcPr>
            <w:tcW w:w="4252" w:type="dxa"/>
            <w:vAlign w:val="bottom"/>
          </w:tcPr>
          <w:p w:rsidR="00657EBB" w:rsidRPr="00A33731" w:rsidRDefault="00A33731">
            <w:pPr>
              <w:tabs>
                <w:tab w:val="left" w:pos="7020"/>
                <w:tab w:val="left" w:pos="7200"/>
              </w:tabs>
              <w:ind w:left="32"/>
              <w:jc w:val="right"/>
            </w:pPr>
            <w:r w:rsidRPr="00A33731">
              <w:t>Юрій ГЕЛЕТІЙ</w:t>
            </w:r>
          </w:p>
        </w:tc>
      </w:tr>
    </w:tbl>
    <w:p w:rsidR="00657EBB" w:rsidRPr="00A33731" w:rsidRDefault="00657EBB"/>
    <w:p w:rsidR="00657EBB" w:rsidRPr="00A33731" w:rsidRDefault="00657EBB"/>
    <w:p w:rsidR="00657EBB" w:rsidRPr="00A33731" w:rsidRDefault="00A33731">
      <w:pPr>
        <w:jc w:val="left"/>
      </w:pPr>
      <w:r w:rsidRPr="00A33731">
        <w:t>Інд.</w:t>
      </w:r>
      <w:r w:rsidRPr="00A33731">
        <w:rPr>
          <w:sz w:val="22"/>
          <w:szCs w:val="22"/>
        </w:rPr>
        <w:t xml:space="preserve"> </w:t>
      </w:r>
      <w:r w:rsidRPr="00A33731">
        <w:t>33</w:t>
      </w:r>
    </w:p>
    <w:p w:rsidR="00657EBB" w:rsidRPr="00A33731" w:rsidRDefault="00657EBB"/>
    <w:sectPr w:rsidR="00657EBB" w:rsidRPr="00A3373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701" w:left="1701" w:header="709" w:footer="709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33731">
      <w:r>
        <w:separator/>
      </w:r>
    </w:p>
  </w:endnote>
  <w:endnote w:type="continuationSeparator" w:id="0">
    <w:p w:rsidR="00000000" w:rsidRDefault="00A33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altName w:val="Helvetica Neue"/>
    <w:panose1 w:val="020B0502040204020203"/>
    <w:charset w:val="CC"/>
    <w:family w:val="swiss"/>
    <w:pitch w:val="default"/>
    <w:sig w:usb0="00000000" w:usb1="00000000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D7" w:rsidRDefault="00201CD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D7" w:rsidRDefault="00201CD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BB" w:rsidRDefault="00A3373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jc w:val="right"/>
      <w:rPr>
        <w:color w:val="FFFFFF"/>
      </w:rPr>
    </w:pPr>
    <w:r>
      <w:rPr>
        <w:color w:val="FFFFFF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33731">
      <w:r>
        <w:separator/>
      </w:r>
    </w:p>
  </w:footnote>
  <w:footnote w:type="continuationSeparator" w:id="0">
    <w:p w:rsidR="00000000" w:rsidRDefault="00A33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D7" w:rsidRDefault="00201CD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EBB" w:rsidRDefault="00A33731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657EBB" w:rsidRDefault="00657EB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819"/>
        <w:tab w:val="right" w:pos="9639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D7" w:rsidRDefault="00201CD7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91740"/>
    <w:multiLevelType w:val="multilevel"/>
    <w:tmpl w:val="62591740"/>
    <w:lvl w:ilvl="0">
      <w:start w:val="1"/>
      <w:numFmt w:val="decimal"/>
      <w:lvlText w:val="%1)"/>
      <w:lvlJc w:val="right"/>
      <w:pPr>
        <w:ind w:left="709" w:hanging="360"/>
      </w:p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6259174B"/>
    <w:multiLevelType w:val="multilevel"/>
    <w:tmpl w:val="6259174B"/>
    <w:lvl w:ilvl="0">
      <w:start w:val="1"/>
      <w:numFmt w:val="decimal"/>
      <w:lvlText w:val="%1)"/>
      <w:lvlJc w:val="right"/>
      <w:pPr>
        <w:ind w:left="1276" w:hanging="360"/>
      </w:pPr>
    </w:lvl>
    <w:lvl w:ilvl="1">
      <w:start w:val="1"/>
      <w:numFmt w:val="lowerLetter"/>
      <w:lvlText w:val="%2."/>
      <w:lvlJc w:val="left"/>
      <w:pPr>
        <w:ind w:left="1996" w:hanging="360"/>
      </w:pPr>
    </w:lvl>
    <w:lvl w:ilvl="2">
      <w:start w:val="1"/>
      <w:numFmt w:val="lowerRoman"/>
      <w:lvlText w:val="%3."/>
      <w:lvlJc w:val="right"/>
      <w:pPr>
        <w:ind w:left="2716" w:hanging="180"/>
      </w:pPr>
    </w:lvl>
    <w:lvl w:ilvl="3">
      <w:start w:val="1"/>
      <w:numFmt w:val="decimal"/>
      <w:lvlText w:val="%4."/>
      <w:lvlJc w:val="left"/>
      <w:pPr>
        <w:ind w:left="3436" w:hanging="360"/>
      </w:pPr>
    </w:lvl>
    <w:lvl w:ilvl="4">
      <w:start w:val="1"/>
      <w:numFmt w:val="lowerLetter"/>
      <w:lvlText w:val="%5."/>
      <w:lvlJc w:val="left"/>
      <w:pPr>
        <w:ind w:left="4156" w:hanging="360"/>
      </w:pPr>
    </w:lvl>
    <w:lvl w:ilvl="5">
      <w:start w:val="1"/>
      <w:numFmt w:val="lowerRoman"/>
      <w:lvlText w:val="%6."/>
      <w:lvlJc w:val="right"/>
      <w:pPr>
        <w:ind w:left="4876" w:hanging="180"/>
      </w:pPr>
    </w:lvl>
    <w:lvl w:ilvl="6">
      <w:start w:val="1"/>
      <w:numFmt w:val="decimal"/>
      <w:lvlText w:val="%7."/>
      <w:lvlJc w:val="left"/>
      <w:pPr>
        <w:ind w:left="5596" w:hanging="360"/>
      </w:pPr>
    </w:lvl>
    <w:lvl w:ilvl="7">
      <w:start w:val="1"/>
      <w:numFmt w:val="lowerLetter"/>
      <w:lvlText w:val="%8."/>
      <w:lvlJc w:val="left"/>
      <w:pPr>
        <w:ind w:left="6316" w:hanging="360"/>
      </w:pPr>
    </w:lvl>
    <w:lvl w:ilvl="8">
      <w:start w:val="1"/>
      <w:numFmt w:val="lowerRoman"/>
      <w:lvlText w:val="%9."/>
      <w:lvlJc w:val="right"/>
      <w:pPr>
        <w:ind w:left="7036" w:hanging="180"/>
      </w:pPr>
    </w:lvl>
  </w:abstractNum>
  <w:abstractNum w:abstractNumId="2" w15:restartNumberingAfterBreak="0">
    <w:nsid w:val="62591756"/>
    <w:multiLevelType w:val="multilevel"/>
    <w:tmpl w:val="62591756"/>
    <w:lvl w:ilvl="0">
      <w:start w:val="1"/>
      <w:numFmt w:val="decimal"/>
      <w:lvlText w:val="%1)"/>
      <w:lvlJc w:val="right"/>
      <w:pPr>
        <w:ind w:left="1624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2344" w:hanging="360"/>
      </w:pPr>
    </w:lvl>
    <w:lvl w:ilvl="2">
      <w:start w:val="1"/>
      <w:numFmt w:val="lowerRoman"/>
      <w:lvlText w:val="%3."/>
      <w:lvlJc w:val="right"/>
      <w:pPr>
        <w:ind w:left="3064" w:hanging="180"/>
      </w:pPr>
    </w:lvl>
    <w:lvl w:ilvl="3">
      <w:start w:val="1"/>
      <w:numFmt w:val="decimal"/>
      <w:lvlText w:val="%4."/>
      <w:lvlJc w:val="left"/>
      <w:pPr>
        <w:ind w:left="3784" w:hanging="360"/>
      </w:pPr>
    </w:lvl>
    <w:lvl w:ilvl="4">
      <w:start w:val="1"/>
      <w:numFmt w:val="lowerLetter"/>
      <w:lvlText w:val="%5."/>
      <w:lvlJc w:val="left"/>
      <w:pPr>
        <w:ind w:left="4504" w:hanging="360"/>
      </w:pPr>
    </w:lvl>
    <w:lvl w:ilvl="5">
      <w:start w:val="1"/>
      <w:numFmt w:val="lowerRoman"/>
      <w:lvlText w:val="%6."/>
      <w:lvlJc w:val="right"/>
      <w:pPr>
        <w:ind w:left="5224" w:hanging="180"/>
      </w:pPr>
    </w:lvl>
    <w:lvl w:ilvl="6">
      <w:start w:val="1"/>
      <w:numFmt w:val="decimal"/>
      <w:lvlText w:val="%7."/>
      <w:lvlJc w:val="left"/>
      <w:pPr>
        <w:ind w:left="5944" w:hanging="360"/>
      </w:pPr>
    </w:lvl>
    <w:lvl w:ilvl="7">
      <w:start w:val="1"/>
      <w:numFmt w:val="lowerLetter"/>
      <w:lvlText w:val="%8."/>
      <w:lvlJc w:val="left"/>
      <w:pPr>
        <w:ind w:left="6664" w:hanging="360"/>
      </w:pPr>
    </w:lvl>
    <w:lvl w:ilvl="8">
      <w:start w:val="1"/>
      <w:numFmt w:val="lowerRoman"/>
      <w:lvlText w:val="%9."/>
      <w:lvlJc w:val="right"/>
      <w:pPr>
        <w:ind w:left="7384" w:hanging="180"/>
      </w:pPr>
    </w:lvl>
  </w:abstractNum>
  <w:abstractNum w:abstractNumId="3" w15:restartNumberingAfterBreak="0">
    <w:nsid w:val="62591761"/>
    <w:multiLevelType w:val="multilevel"/>
    <w:tmpl w:val="62591761"/>
    <w:lvl w:ilvl="0">
      <w:start w:val="1"/>
      <w:numFmt w:val="decimal"/>
      <w:lvlText w:val="%1)"/>
      <w:lvlJc w:val="right"/>
      <w:pPr>
        <w:ind w:left="1276" w:hanging="360"/>
      </w:pPr>
    </w:lvl>
    <w:lvl w:ilvl="1">
      <w:start w:val="1"/>
      <w:numFmt w:val="lowerLetter"/>
      <w:lvlText w:val="%2."/>
      <w:lvlJc w:val="left"/>
      <w:pPr>
        <w:ind w:left="1996" w:hanging="360"/>
      </w:pPr>
    </w:lvl>
    <w:lvl w:ilvl="2">
      <w:start w:val="1"/>
      <w:numFmt w:val="lowerRoman"/>
      <w:lvlText w:val="%3."/>
      <w:lvlJc w:val="right"/>
      <w:pPr>
        <w:ind w:left="2716" w:hanging="180"/>
      </w:pPr>
    </w:lvl>
    <w:lvl w:ilvl="3">
      <w:start w:val="1"/>
      <w:numFmt w:val="decimal"/>
      <w:lvlText w:val="%4."/>
      <w:lvlJc w:val="left"/>
      <w:pPr>
        <w:ind w:left="3436" w:hanging="360"/>
      </w:pPr>
    </w:lvl>
    <w:lvl w:ilvl="4">
      <w:start w:val="1"/>
      <w:numFmt w:val="lowerLetter"/>
      <w:lvlText w:val="%5."/>
      <w:lvlJc w:val="left"/>
      <w:pPr>
        <w:ind w:left="4156" w:hanging="360"/>
      </w:pPr>
    </w:lvl>
    <w:lvl w:ilvl="5">
      <w:start w:val="1"/>
      <w:numFmt w:val="lowerRoman"/>
      <w:lvlText w:val="%6."/>
      <w:lvlJc w:val="right"/>
      <w:pPr>
        <w:ind w:left="4876" w:hanging="180"/>
      </w:pPr>
    </w:lvl>
    <w:lvl w:ilvl="6">
      <w:start w:val="1"/>
      <w:numFmt w:val="decimal"/>
      <w:lvlText w:val="%7."/>
      <w:lvlJc w:val="left"/>
      <w:pPr>
        <w:ind w:left="5596" w:hanging="360"/>
      </w:pPr>
    </w:lvl>
    <w:lvl w:ilvl="7">
      <w:start w:val="1"/>
      <w:numFmt w:val="lowerLetter"/>
      <w:lvlText w:val="%8."/>
      <w:lvlJc w:val="left"/>
      <w:pPr>
        <w:ind w:left="6316" w:hanging="360"/>
      </w:pPr>
    </w:lvl>
    <w:lvl w:ilvl="8">
      <w:start w:val="1"/>
      <w:numFmt w:val="lowerRoman"/>
      <w:lvlText w:val="%9."/>
      <w:lvlJc w:val="right"/>
      <w:pPr>
        <w:ind w:left="703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E7D"/>
    <w:rsid w:val="9FFAC3EB"/>
    <w:rsid w:val="AB553F6B"/>
    <w:rsid w:val="BBAB250A"/>
    <w:rsid w:val="BBFF8EC7"/>
    <w:rsid w:val="BCF45F16"/>
    <w:rsid w:val="D7B7532C"/>
    <w:rsid w:val="DFEBAD60"/>
    <w:rsid w:val="E9FE2CF1"/>
    <w:rsid w:val="EFFC155A"/>
    <w:rsid w:val="F7BFC13D"/>
    <w:rsid w:val="FAEF2F18"/>
    <w:rsid w:val="FD6FDEA2"/>
    <w:rsid w:val="FE8F916A"/>
    <w:rsid w:val="FEBFF5BD"/>
    <w:rsid w:val="FEF7AC02"/>
    <w:rsid w:val="FFBE60BE"/>
    <w:rsid w:val="00007A5C"/>
    <w:rsid w:val="00046D73"/>
    <w:rsid w:val="00062326"/>
    <w:rsid w:val="00072DAC"/>
    <w:rsid w:val="001C2E7D"/>
    <w:rsid w:val="00201CD7"/>
    <w:rsid w:val="002F7537"/>
    <w:rsid w:val="00324A4D"/>
    <w:rsid w:val="003360D8"/>
    <w:rsid w:val="0034453E"/>
    <w:rsid w:val="004370F3"/>
    <w:rsid w:val="005705A9"/>
    <w:rsid w:val="005F0B6F"/>
    <w:rsid w:val="00657EBB"/>
    <w:rsid w:val="006F45C6"/>
    <w:rsid w:val="007E3B88"/>
    <w:rsid w:val="007F033E"/>
    <w:rsid w:val="00870563"/>
    <w:rsid w:val="00A10223"/>
    <w:rsid w:val="00A33731"/>
    <w:rsid w:val="00A34CEA"/>
    <w:rsid w:val="00A86337"/>
    <w:rsid w:val="00B11FD8"/>
    <w:rsid w:val="00E34BD8"/>
    <w:rsid w:val="00EC2667"/>
    <w:rsid w:val="00F163EB"/>
    <w:rsid w:val="3BD5016F"/>
    <w:rsid w:val="557B23B1"/>
    <w:rsid w:val="7CEF6A49"/>
    <w:rsid w:val="7F97F3F1"/>
    <w:rsid w:val="7FF7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05B6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uiPriority="39" w:unhideWhenUsed="1" w:qFormat="1"/>
    <w:lsdException w:name="toc 5" w:uiPriority="39" w:unhideWhenUsed="1" w:qFormat="1"/>
    <w:lsdException w:name="toc 6" w:uiPriority="39" w:unhideWhenUsed="1" w:qFormat="1"/>
    <w:lsdException w:name="toc 7" w:uiPriority="39" w:unhideWhenUsed="1" w:qFormat="1"/>
    <w:lsdException w:name="toc 8" w:uiPriority="39" w:unhideWhenUsed="1" w:qFormat="1"/>
    <w:lsdException w:name="toc 9" w:uiPriority="39" w:unhideWhenUsed="1" w:qFormat="1"/>
    <w:lsdException w:name="Normal Indent" w:semiHidden="1" w:unhideWhenUsed="1"/>
    <w:lsdException w:name="footnote text" w:unhideWhenUsed="1" w:qFormat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unhideWhenUsed="1" w:qFormat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unhideWhenUsed="1" w:qFormat="1"/>
    <w:lsdException w:name="endnote text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5">
    <w:name w:val="caption"/>
    <w:basedOn w:val="a"/>
    <w:next w:val="a"/>
    <w:uiPriority w:val="35"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paragraph" w:styleId="a6">
    <w:name w:val="annotation text"/>
    <w:basedOn w:val="a"/>
    <w:link w:val="a7"/>
    <w:uiPriority w:val="99"/>
    <w:unhideWhenUsed/>
    <w:qFormat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unhideWhenUsed/>
    <w:qFormat/>
    <w:rPr>
      <w:b/>
      <w:bCs/>
    </w:rPr>
  </w:style>
  <w:style w:type="paragraph" w:styleId="aa">
    <w:name w:val="endnote text"/>
    <w:basedOn w:val="a"/>
    <w:link w:val="ab"/>
    <w:uiPriority w:val="99"/>
    <w:unhideWhenUsed/>
    <w:qFormat/>
    <w:rPr>
      <w:sz w:val="20"/>
    </w:rPr>
  </w:style>
  <w:style w:type="paragraph" w:styleId="ac">
    <w:name w:val="footer"/>
    <w:basedOn w:val="a"/>
    <w:link w:val="ad"/>
    <w:uiPriority w:val="99"/>
    <w:unhideWhenUsed/>
    <w:qFormat/>
    <w:pPr>
      <w:tabs>
        <w:tab w:val="center" w:pos="7143"/>
        <w:tab w:val="right" w:pos="14287"/>
      </w:tabs>
    </w:pPr>
  </w:style>
  <w:style w:type="paragraph" w:styleId="ae">
    <w:name w:val="footnote text"/>
    <w:basedOn w:val="a"/>
    <w:link w:val="af"/>
    <w:uiPriority w:val="99"/>
    <w:unhideWhenUsed/>
    <w:qFormat/>
    <w:pPr>
      <w:spacing w:after="40"/>
    </w:pPr>
    <w:rPr>
      <w:sz w:val="18"/>
    </w:rPr>
  </w:style>
  <w:style w:type="paragraph" w:styleId="af0">
    <w:name w:val="header"/>
    <w:basedOn w:val="a"/>
    <w:link w:val="af1"/>
    <w:uiPriority w:val="99"/>
    <w:unhideWhenUsed/>
    <w:qFormat/>
    <w:pPr>
      <w:tabs>
        <w:tab w:val="center" w:pos="7143"/>
        <w:tab w:val="right" w:pos="14287"/>
      </w:tabs>
    </w:pPr>
  </w:style>
  <w:style w:type="paragraph" w:styleId="af2">
    <w:name w:val="Subtitle"/>
    <w:basedOn w:val="a"/>
    <w:next w:val="a"/>
    <w:link w:val="af3"/>
    <w:uiPriority w:val="11"/>
    <w:qFormat/>
    <w:pPr>
      <w:spacing w:before="200" w:after="200"/>
    </w:pPr>
    <w:rPr>
      <w:sz w:val="24"/>
      <w:szCs w:val="24"/>
    </w:rPr>
  </w:style>
  <w:style w:type="paragraph" w:styleId="af4">
    <w:name w:val="table of figures"/>
    <w:basedOn w:val="a"/>
    <w:next w:val="a"/>
    <w:uiPriority w:val="99"/>
    <w:unhideWhenUsed/>
    <w:qFormat/>
  </w:style>
  <w:style w:type="paragraph" w:styleId="af5">
    <w:name w:val="Title"/>
    <w:basedOn w:val="a"/>
    <w:next w:val="a"/>
    <w:link w:val="af6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11">
    <w:name w:val="toc 1"/>
    <w:basedOn w:val="a"/>
    <w:next w:val="a"/>
    <w:uiPriority w:val="39"/>
    <w:unhideWhenUsed/>
    <w:qFormat/>
    <w:pPr>
      <w:spacing w:after="57"/>
    </w:pPr>
  </w:style>
  <w:style w:type="paragraph" w:styleId="21">
    <w:name w:val="toc 2"/>
    <w:basedOn w:val="a"/>
    <w:next w:val="a"/>
    <w:uiPriority w:val="39"/>
    <w:unhideWhenUsed/>
    <w:qFormat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qFormat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qFormat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qFormat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qFormat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qFormat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qFormat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qFormat/>
    <w:pPr>
      <w:spacing w:after="57"/>
      <w:ind w:left="2268"/>
    </w:pPr>
  </w:style>
  <w:style w:type="character" w:styleId="af7">
    <w:name w:val="annotation reference"/>
    <w:basedOn w:val="a0"/>
    <w:uiPriority w:val="99"/>
    <w:unhideWhenUsed/>
    <w:qFormat/>
    <w:rPr>
      <w:sz w:val="16"/>
      <w:szCs w:val="16"/>
    </w:rPr>
  </w:style>
  <w:style w:type="character" w:styleId="af8">
    <w:name w:val="Emphasis"/>
    <w:basedOn w:val="a0"/>
    <w:uiPriority w:val="20"/>
    <w:qFormat/>
    <w:rPr>
      <w:i/>
      <w:iCs/>
    </w:rPr>
  </w:style>
  <w:style w:type="character" w:styleId="af9">
    <w:name w:val="endnote reference"/>
    <w:basedOn w:val="a0"/>
    <w:uiPriority w:val="99"/>
    <w:unhideWhenUsed/>
    <w:qFormat/>
    <w:rPr>
      <w:vertAlign w:val="superscript"/>
    </w:rPr>
  </w:style>
  <w:style w:type="character" w:styleId="afa">
    <w:name w:val="footnote reference"/>
    <w:basedOn w:val="a0"/>
    <w:uiPriority w:val="99"/>
    <w:unhideWhenUsed/>
    <w:qFormat/>
    <w:rPr>
      <w:vertAlign w:val="superscript"/>
    </w:rPr>
  </w:style>
  <w:style w:type="character" w:styleId="afb">
    <w:name w:val="Hyperlink"/>
    <w:uiPriority w:val="99"/>
    <w:unhideWhenUsed/>
    <w:qFormat/>
    <w:rPr>
      <w:color w:val="0563C1" w:themeColor="hyperlink"/>
      <w:u w:val="single"/>
    </w:rPr>
  </w:style>
  <w:style w:type="table" w:styleId="afc">
    <w:name w:val="Table Grid"/>
    <w:basedOn w:val="a1"/>
    <w:uiPriority w:val="59"/>
    <w:qFormat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a0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HeaderChar">
    <w:name w:val="Header Char"/>
    <w:basedOn w:val="a0"/>
    <w:uiPriority w:val="99"/>
    <w:qFormat/>
  </w:style>
  <w:style w:type="character" w:customStyle="1" w:styleId="CaptionChar">
    <w:name w:val="Caption Char"/>
    <w:uiPriority w:val="99"/>
    <w:qFormat/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EndnoteTextChar">
    <w:name w:val="Endnote Text Char"/>
    <w:uiPriority w:val="99"/>
    <w:qFormat/>
    <w:rPr>
      <w:sz w:val="20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qFormat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qFormat/>
    <w:rPr>
      <w:rFonts w:ascii="Arial" w:eastAsia="Arial" w:hAnsi="Arial" w:cs="Arial"/>
      <w:i/>
      <w:iCs/>
      <w:sz w:val="21"/>
      <w:szCs w:val="21"/>
    </w:rPr>
  </w:style>
  <w:style w:type="paragraph" w:customStyle="1" w:styleId="12">
    <w:name w:val="Без інтервалів1"/>
    <w:uiPriority w:val="1"/>
    <w:qFormat/>
    <w:pPr>
      <w:spacing w:after="0" w:line="240" w:lineRule="auto"/>
    </w:pPr>
    <w:rPr>
      <w:sz w:val="22"/>
      <w:szCs w:val="22"/>
      <w:lang w:eastAsia="en-US"/>
    </w:rPr>
  </w:style>
  <w:style w:type="character" w:customStyle="1" w:styleId="af6">
    <w:name w:val="Назва Знак"/>
    <w:basedOn w:val="a0"/>
    <w:link w:val="af5"/>
    <w:uiPriority w:val="10"/>
    <w:qFormat/>
    <w:rPr>
      <w:sz w:val="48"/>
      <w:szCs w:val="48"/>
    </w:rPr>
  </w:style>
  <w:style w:type="character" w:customStyle="1" w:styleId="af3">
    <w:name w:val="Підзаголовок Знак"/>
    <w:basedOn w:val="a0"/>
    <w:link w:val="af2"/>
    <w:uiPriority w:val="11"/>
    <w:qFormat/>
    <w:rPr>
      <w:sz w:val="24"/>
      <w:szCs w:val="24"/>
    </w:rPr>
  </w:style>
  <w:style w:type="paragraph" w:customStyle="1" w:styleId="13">
    <w:name w:val="Цитата1"/>
    <w:basedOn w:val="a"/>
    <w:next w:val="a"/>
    <w:link w:val="afd"/>
    <w:uiPriority w:val="29"/>
    <w:qFormat/>
    <w:pPr>
      <w:ind w:left="720" w:right="720"/>
    </w:pPr>
    <w:rPr>
      <w:i/>
    </w:rPr>
  </w:style>
  <w:style w:type="character" w:customStyle="1" w:styleId="afd">
    <w:name w:val="Цитата Знак"/>
    <w:link w:val="13"/>
    <w:uiPriority w:val="29"/>
    <w:qFormat/>
    <w:rPr>
      <w:i/>
    </w:rPr>
  </w:style>
  <w:style w:type="paragraph" w:customStyle="1" w:styleId="14">
    <w:name w:val="Насичена цитата1"/>
    <w:basedOn w:val="a"/>
    <w:next w:val="a"/>
    <w:link w:val="afe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Насичена цитата Знак"/>
    <w:link w:val="14"/>
    <w:uiPriority w:val="30"/>
    <w:qFormat/>
    <w:rPr>
      <w:i/>
    </w:rPr>
  </w:style>
  <w:style w:type="character" w:customStyle="1" w:styleId="af1">
    <w:name w:val="Верхній колонтитул Знак"/>
    <w:basedOn w:val="a0"/>
    <w:link w:val="af0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ad">
    <w:name w:val="Нижній колонтитул Знак"/>
    <w:link w:val="ac"/>
    <w:uiPriority w:val="99"/>
    <w:qFormat/>
  </w:style>
  <w:style w:type="table" w:customStyle="1" w:styleId="TableGridLight">
    <w:name w:val="Table Grid Light"/>
    <w:basedOn w:val="a1"/>
    <w:uiPriority w:val="59"/>
    <w:qFormat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Звичайна таблиця 11"/>
    <w:basedOn w:val="a1"/>
    <w:uiPriority w:val="59"/>
    <w:qFormat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Звичайна таблиця 21"/>
    <w:basedOn w:val="a1"/>
    <w:uiPriority w:val="59"/>
    <w:qFormat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Звичайна таблиця 31"/>
    <w:basedOn w:val="a1"/>
    <w:uiPriority w:val="99"/>
    <w:qFormat/>
    <w:pPr>
      <w:spacing w:after="0" w:line="240" w:lineRule="auto"/>
    </w:pPr>
    <w:tblPr/>
    <w:tblStylePr w:type="firstRow">
      <w:rPr>
        <w:b/>
        <w:caps/>
        <w:color w:val="404040"/>
      </w:rPr>
      <w:tblPr/>
      <w:tcPr>
        <w:tcBorders>
          <w:top w:val="nil"/>
          <w:left w:val="nil"/>
          <w:bottom w:val="single" w:sz="4" w:space="0" w:color="404040"/>
          <w:right w:val="nil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il"/>
          <w:left w:val="nil"/>
          <w:bottom w:val="nil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Звичайна таблиця 4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Звичайна таблиця 51"/>
    <w:basedOn w:val="a1"/>
    <w:uiPriority w:val="99"/>
    <w:qFormat/>
    <w:pPr>
      <w:spacing w:after="0" w:line="240" w:lineRule="auto"/>
    </w:pPr>
    <w:tblPr/>
    <w:tblStylePr w:type="firstRow">
      <w:rPr>
        <w:i/>
        <w:color w:val="404040"/>
      </w:rPr>
      <w:tblPr/>
      <w:tcPr>
        <w:tcBorders>
          <w:left w:val="nil"/>
          <w:bottom w:val="single" w:sz="4" w:space="0" w:color="404040"/>
          <w:right w:val="nil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111">
    <w:name w:val="Сітка таблиці 1 (світла)1"/>
    <w:basedOn w:val="a1"/>
    <w:uiPriority w:val="99"/>
    <w:qFormat/>
    <w:pPr>
      <w:spacing w:after="0" w:line="240" w:lineRule="auto"/>
    </w:pPr>
    <w:tblPr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qFormat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qFormat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qFormat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qFormat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qFormat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qFormat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я-сітка 21"/>
    <w:basedOn w:val="a1"/>
    <w:uiPriority w:val="99"/>
    <w:qFormat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A6A6A" w:themeColor="text1" w:themeTint="9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qFormat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68A2D8" w:themeColor="accent1" w:themeTint="E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4B184" w:themeColor="accent2" w:themeTint="97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A5A5A5" w:themeColor="accent3" w:themeTint="FE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FFD865" w:themeColor="accent4" w:themeTint="9A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qFormat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4472C4" w:themeColor="accent5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qFormat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single" w:sz="12" w:space="0" w:color="70AD47" w:themeColor="accent6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я-сітка 31"/>
    <w:basedOn w:val="a1"/>
    <w:uiPriority w:val="99"/>
    <w:qFormat/>
    <w:pPr>
      <w:spacing w:after="0" w:line="240" w:lineRule="auto"/>
    </w:pPr>
    <w:tblPr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qFormat/>
    <w:pPr>
      <w:spacing w:after="0" w:line="240" w:lineRule="auto"/>
    </w:pPr>
    <w:tblPr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qFormat/>
    <w:pPr>
      <w:spacing w:after="0" w:line="240" w:lineRule="auto"/>
    </w:pPr>
    <w:tblPr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qFormat/>
    <w:pPr>
      <w:spacing w:after="0" w:line="240" w:lineRule="auto"/>
    </w:pPr>
    <w:tblPr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il"/>
          <w:left w:val="nil"/>
          <w:bottom w:val="nil"/>
          <w:right w:val="nil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я-сітка 41"/>
    <w:basedOn w:val="a1"/>
    <w:uiPriority w:val="59"/>
    <w:qFormat/>
    <w:pPr>
      <w:spacing w:after="0" w:line="240" w:lineRule="auto"/>
    </w:pPr>
    <w:tblPr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qFormat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qFormat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qFormat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qFormat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qFormat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qFormat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511">
    <w:name w:val="Сітка таблиці 5 (темна)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qFormat/>
    <w:pPr>
      <w:spacing w:after="0" w:line="240" w:lineRule="auto"/>
    </w:pPr>
    <w:tblPr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610">
    <w:name w:val="Сітка таблиці 6 (кольорова)1"/>
    <w:basedOn w:val="a1"/>
    <w:uiPriority w:val="99"/>
    <w:qFormat/>
    <w:pPr>
      <w:spacing w:after="0" w:line="240" w:lineRule="auto"/>
    </w:p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/>
      </w:rPr>
    </w:tblStylePr>
    <w:tblStylePr w:type="firstCol">
      <w:rPr>
        <w:b/>
        <w:color w:val="7F7F7F" w:themeColor="text1" w:themeTint="80"/>
      </w:rPr>
    </w:tblStylePr>
    <w:tblStylePr w:type="lastCol">
      <w:rPr>
        <w:b/>
        <w:color w:val="7F7F7F" w:themeColor="text1" w:themeTint="80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qFormat/>
    <w:pPr>
      <w:spacing w:after="0" w:line="240" w:lineRule="auto"/>
    </w:pPr>
    <w:tblPr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/>
      </w:rPr>
    </w:tblStylePr>
    <w:tblStylePr w:type="firstCol">
      <w:rPr>
        <w:b/>
        <w:color w:val="ACCCEA" w:themeColor="accent1" w:themeTint="80"/>
      </w:rPr>
    </w:tblStylePr>
    <w:tblStylePr w:type="lastCol">
      <w:rPr>
        <w:b/>
        <w:color w:val="ACCCEA" w:themeColor="accent1" w:themeTint="80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qFormat/>
    <w:pPr>
      <w:spacing w:after="0" w:line="240" w:lineRule="auto"/>
    </w:pPr>
    <w:tblPr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/>
      </w:rPr>
    </w:tblStylePr>
    <w:tblStylePr w:type="firstCol">
      <w:rPr>
        <w:b/>
        <w:color w:val="A5A5A5" w:themeColor="accent3"/>
      </w:rPr>
    </w:tblStylePr>
    <w:tblStylePr w:type="lastCol">
      <w:rPr>
        <w:b/>
        <w:color w:val="A5A5A5" w:themeColor="accent3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qFormat/>
    <w:pPr>
      <w:spacing w:after="0" w:line="240" w:lineRule="auto"/>
    </w:pPr>
    <w:tblPr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qFormat/>
    <w:pPr>
      <w:spacing w:after="0" w:line="240" w:lineRule="auto"/>
    </w:pPr>
    <w:tblPr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4174" w:themeColor="accent5" w:themeShade="94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4174" w:themeColor="accent5" w:themeShade="94"/>
      </w:rPr>
    </w:tblStylePr>
    <w:tblStylePr w:type="firstCol">
      <w:rPr>
        <w:b/>
        <w:color w:val="244174" w:themeColor="accent5" w:themeShade="94"/>
      </w:rPr>
    </w:tblStylePr>
    <w:tblStylePr w:type="lastCol">
      <w:rPr>
        <w:b/>
        <w:color w:val="244174" w:themeColor="accent5" w:themeShade="94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710">
    <w:name w:val="Сітка таблиці 7 (кольорова)1"/>
    <w:basedOn w:val="a1"/>
    <w:uiPriority w:val="99"/>
    <w:qFormat/>
    <w:pPr>
      <w:spacing w:after="0" w:line="240" w:lineRule="auto"/>
    </w:pPr>
    <w:tblPr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qFormat/>
    <w:pPr>
      <w:spacing w:after="0" w:line="240" w:lineRule="auto"/>
    </w:pPr>
    <w:tblPr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nil"/>
          <w:left w:val="nil"/>
          <w:bottom w:val="single" w:sz="4" w:space="0" w:color="ACCCEA" w:themeColor="accen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/>
        <w:sz w:val="22"/>
      </w:rPr>
      <w:tblPr/>
      <w:tcPr>
        <w:tcBorders>
          <w:top w:val="single" w:sz="4" w:space="0" w:color="ACCCEA" w:themeColor="accen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/>
        <w:sz w:val="22"/>
      </w:rPr>
      <w:tblPr/>
      <w:tcPr>
        <w:tcBorders>
          <w:top w:val="nil"/>
          <w:left w:val="single" w:sz="4" w:space="0" w:color="ACCCEA" w:themeColor="accen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qFormat/>
    <w:pPr>
      <w:spacing w:after="0" w:line="240" w:lineRule="auto"/>
    </w:pPr>
    <w:tblPr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qFormat/>
    <w:pPr>
      <w:spacing w:after="0" w:line="240" w:lineRule="auto"/>
    </w:pPr>
    <w:tblPr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/>
        <w:sz w:val="22"/>
      </w:rPr>
      <w:tblPr/>
      <w:tcPr>
        <w:tcBorders>
          <w:top w:val="nil"/>
          <w:left w:val="nil"/>
          <w:bottom w:val="single" w:sz="4" w:space="0" w:color="A5A5A5" w:themeColor="accent3" w:themeTint="FE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/>
        <w:sz w:val="22"/>
      </w:rPr>
      <w:tblPr/>
      <w:tcPr>
        <w:tcBorders>
          <w:top w:val="single" w:sz="4" w:space="0" w:color="A5A5A5" w:themeColor="accent3" w:themeTint="FE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nil"/>
          <w:bottom w:val="nil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/>
        <w:sz w:val="22"/>
      </w:rPr>
      <w:tblPr/>
      <w:tcPr>
        <w:tcBorders>
          <w:top w:val="nil"/>
          <w:left w:val="single" w:sz="4" w:space="0" w:color="A5A5A5" w:themeColor="accent3" w:themeTint="FE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qFormat/>
    <w:pPr>
      <w:spacing w:after="0" w:line="240" w:lineRule="auto"/>
    </w:pPr>
    <w:tblPr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qFormat/>
    <w:pPr>
      <w:spacing w:after="0" w:line="240" w:lineRule="auto"/>
    </w:pPr>
    <w:tblPr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nil"/>
          <w:left w:val="nil"/>
          <w:bottom w:val="single" w:sz="4" w:space="0" w:color="95AFDD" w:themeColor="accent5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4174" w:themeColor="accent5" w:themeShade="94"/>
        <w:sz w:val="22"/>
      </w:rPr>
      <w:tblPr/>
      <w:tcPr>
        <w:tcBorders>
          <w:top w:val="single" w:sz="4" w:space="0" w:color="95AFDD" w:themeColor="accent5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nil"/>
          <w:bottom w:val="nil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4174" w:themeColor="accent5" w:themeShade="94"/>
        <w:sz w:val="22"/>
      </w:rPr>
      <w:tblPr/>
      <w:tcPr>
        <w:tcBorders>
          <w:top w:val="nil"/>
          <w:left w:val="single" w:sz="4" w:space="0" w:color="95AFDD" w:themeColor="accent5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44174" w:themeColor="accent5" w:themeShade="94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44174" w:themeColor="accent5" w:themeShade="94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qFormat/>
    <w:pPr>
      <w:spacing w:after="0" w:line="240" w:lineRule="auto"/>
    </w:pPr>
    <w:tblPr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nil"/>
          <w:left w:val="nil"/>
          <w:bottom w:val="single" w:sz="4" w:space="0" w:color="ADD394" w:themeColor="accent6" w:themeTint="9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06429" w:themeColor="accent6" w:themeShade="94"/>
        <w:sz w:val="22"/>
      </w:rPr>
      <w:tblPr/>
      <w:tcPr>
        <w:tcBorders>
          <w:top w:val="single" w:sz="4" w:space="0" w:color="ADD394" w:themeColor="accent6" w:themeTint="9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nil"/>
          <w:bottom w:val="nil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06429" w:themeColor="accent6" w:themeShade="94"/>
        <w:sz w:val="22"/>
      </w:rPr>
      <w:tblPr/>
      <w:tcPr>
        <w:tcBorders>
          <w:top w:val="nil"/>
          <w:left w:val="single" w:sz="4" w:space="0" w:color="ADD394" w:themeColor="accent6" w:themeTint="9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6429" w:themeColor="accent6" w:themeShade="94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06429" w:themeColor="accent6" w:themeShade="94"/>
        <w:sz w:val="22"/>
      </w:rPr>
    </w:tblStylePr>
  </w:style>
  <w:style w:type="table" w:customStyle="1" w:styleId="112">
    <w:name w:val="Список таблиці 1 (світлий)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000000" w:themeColor="tex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ED7D31" w:themeColor="accent2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A5A5A5" w:themeColor="accent3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FFC000" w:themeColor="accent4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4472C4" w:themeColor="accent5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qFormat/>
    <w:pPr>
      <w:spacing w:after="0" w:line="240" w:lineRule="auto"/>
    </w:pPr>
    <w:tblPr/>
    <w:tblStylePr w:type="firstRow">
      <w:rPr>
        <w:b/>
        <w:color w:val="404040"/>
      </w:rPr>
      <w:tblPr/>
      <w:tcPr>
        <w:tcBorders>
          <w:top w:val="nil"/>
          <w:left w:val="nil"/>
          <w:bottom w:val="single" w:sz="4" w:space="0" w:color="70AD47" w:themeColor="accent6"/>
          <w:right w:val="nil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il"/>
          <w:bottom w:val="nil"/>
          <w:right w:val="nil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211">
    <w:name w:val="Список таблиці 21"/>
    <w:basedOn w:val="a1"/>
    <w:uiPriority w:val="99"/>
    <w:qFormat/>
    <w:pPr>
      <w:spacing w:after="0" w:line="240" w:lineRule="auto"/>
    </w:pPr>
    <w:tblPr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il"/>
          <w:bottom w:val="single" w:sz="4" w:space="0" w:color="6F6F6F" w:themeColor="tex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qFormat/>
    <w:pPr>
      <w:spacing w:after="0" w:line="240" w:lineRule="auto"/>
    </w:pPr>
    <w:tblPr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il"/>
          <w:bottom w:val="single" w:sz="4" w:space="0" w:color="A2C6E7" w:themeColor="accent1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qFormat/>
    <w:pPr>
      <w:spacing w:after="0" w:line="240" w:lineRule="auto"/>
    </w:pPr>
    <w:tblPr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il"/>
          <w:bottom w:val="single" w:sz="4" w:space="0" w:color="F4B58A" w:themeColor="accent2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qFormat/>
    <w:pPr>
      <w:spacing w:after="0" w:line="240" w:lineRule="auto"/>
    </w:pPr>
    <w:tblPr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il"/>
          <w:bottom w:val="single" w:sz="4" w:space="0" w:color="CCCCCC" w:themeColor="accent3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qFormat/>
    <w:pPr>
      <w:spacing w:after="0" w:line="240" w:lineRule="auto"/>
    </w:pPr>
    <w:tblPr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il"/>
          <w:bottom w:val="single" w:sz="4" w:space="0" w:color="FFDB6F" w:themeColor="accent4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qFormat/>
    <w:pPr>
      <w:spacing w:after="0" w:line="240" w:lineRule="auto"/>
    </w:pPr>
    <w:tblPr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il"/>
          <w:bottom w:val="single" w:sz="4" w:space="0" w:color="95AFDD" w:themeColor="accent5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qFormat/>
    <w:pPr>
      <w:spacing w:after="0" w:line="240" w:lineRule="auto"/>
    </w:pPr>
    <w:tblPr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il"/>
          <w:bottom w:val="single" w:sz="4" w:space="0" w:color="ADD394" w:themeColor="accent6" w:themeTint="90"/>
          <w:right w:val="nil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311">
    <w:name w:val="Список таблиці 31"/>
    <w:basedOn w:val="a1"/>
    <w:uiPriority w:val="9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qFormat/>
    <w:pPr>
      <w:spacing w:after="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qFormat/>
    <w:pPr>
      <w:spacing w:after="0" w:line="240" w:lineRule="auto"/>
    </w:pPr>
    <w:tblPr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qFormat/>
    <w:pPr>
      <w:spacing w:after="0" w:line="240" w:lineRule="auto"/>
    </w:pPr>
    <w:tblPr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qFormat/>
    <w:pPr>
      <w:spacing w:after="0" w:line="240" w:lineRule="auto"/>
    </w:pPr>
    <w:tblPr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411">
    <w:name w:val="Список таблиці 41"/>
    <w:basedOn w:val="a1"/>
    <w:uiPriority w:val="99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qFormat/>
    <w:pPr>
      <w:spacing w:after="0" w:line="240" w:lineRule="auto"/>
    </w:pPr>
    <w:tblPr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qFormat/>
    <w:pPr>
      <w:spacing w:after="0" w:line="240" w:lineRule="auto"/>
    </w:pPr>
    <w:tblPr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qFormat/>
    <w:pPr>
      <w:spacing w:after="0" w:line="240" w:lineRule="auto"/>
    </w:pPr>
    <w:tblPr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qFormat/>
    <w:pPr>
      <w:spacing w:after="0" w:line="240" w:lineRule="auto"/>
    </w:pPr>
    <w:tblPr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qFormat/>
    <w:pPr>
      <w:spacing w:after="0" w:line="240" w:lineRule="auto"/>
    </w:pPr>
    <w:tblPr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qFormat/>
    <w:pPr>
      <w:spacing w:after="0" w:line="240" w:lineRule="auto"/>
    </w:pPr>
    <w:tblPr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512">
    <w:name w:val="Список таблиці 5 (темний)1"/>
    <w:basedOn w:val="a1"/>
    <w:uiPriority w:val="99"/>
    <w:qFormat/>
    <w:pPr>
      <w:spacing w:after="0" w:line="240" w:lineRule="auto"/>
    </w:pPr>
    <w:tblPr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qFormat/>
    <w:pPr>
      <w:spacing w:after="0" w:line="240" w:lineRule="auto"/>
    </w:pPr>
    <w:tblPr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qFormat/>
    <w:pPr>
      <w:spacing w:after="0" w:line="240" w:lineRule="auto"/>
    </w:pPr>
    <w:tblPr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qFormat/>
    <w:pPr>
      <w:spacing w:after="0" w:line="240" w:lineRule="auto"/>
    </w:pPr>
    <w:tblPr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qFormat/>
    <w:pPr>
      <w:spacing w:after="0" w:line="240" w:lineRule="auto"/>
    </w:pPr>
    <w:tblPr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qFormat/>
    <w:pPr>
      <w:spacing w:after="0" w:line="240" w:lineRule="auto"/>
    </w:pPr>
    <w:tblPr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qFormat/>
    <w:pPr>
      <w:spacing w:after="0" w:line="240" w:lineRule="auto"/>
    </w:pPr>
    <w:tblPr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611">
    <w:name w:val="Список таблиці 6 (кольоровий)1"/>
    <w:basedOn w:val="a1"/>
    <w:uiPriority w:val="99"/>
    <w:qFormat/>
    <w:pPr>
      <w:spacing w:after="0" w:line="240" w:lineRule="auto"/>
    </w:pPr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qFormat/>
    <w:pPr>
      <w:spacing w:after="0" w:line="240" w:lineRule="auto"/>
    </w:pPr>
    <w:tblPr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C" w:themeColor="accent1" w:themeShade="94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C" w:themeColor="accent1" w:themeShade="94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C" w:themeColor="accent1" w:themeShade="94"/>
      </w:rPr>
    </w:tblStylePr>
    <w:tblStylePr w:type="lastCol">
      <w:rPr>
        <w:b/>
        <w:color w:val="245A8C" w:themeColor="accent1" w:themeShade="94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qFormat/>
    <w:pPr>
      <w:spacing w:after="0" w:line="240" w:lineRule="auto"/>
    </w:pPr>
    <w:tblPr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285" w:themeColor="accent2" w:themeTint="96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285" w:themeColor="accent2" w:themeTint="96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285" w:themeColor="accent2" w:themeTint="96"/>
      </w:rPr>
    </w:tblStylePr>
    <w:tblStylePr w:type="lastCol">
      <w:rPr>
        <w:b/>
        <w:color w:val="F4B285" w:themeColor="accent2" w:themeTint="96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qFormat/>
    <w:pPr>
      <w:spacing w:after="0" w:line="240" w:lineRule="auto"/>
    </w:pPr>
    <w:tblPr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9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9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9"/>
      </w:rPr>
    </w:tblStylePr>
    <w:tblStylePr w:type="lastCol">
      <w:rPr>
        <w:b/>
        <w:color w:val="C9C9C9" w:themeColor="accent3" w:themeTint="99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qFormat/>
    <w:pPr>
      <w:spacing w:after="0" w:line="240" w:lineRule="auto"/>
    </w:pPr>
    <w:tblPr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966" w:themeColor="accent4" w:themeTint="99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966" w:themeColor="accent4" w:themeTint="99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966" w:themeColor="accent4" w:themeTint="99"/>
      </w:rPr>
    </w:tblStylePr>
    <w:tblStylePr w:type="lastCol">
      <w:rPr>
        <w:b/>
        <w:color w:val="FFD966" w:themeColor="accent4" w:themeTint="99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qFormat/>
    <w:pPr>
      <w:spacing w:after="0" w:line="240" w:lineRule="auto"/>
    </w:pPr>
    <w:tblPr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EAADB" w:themeColor="accent5" w:themeTint="99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EAADB" w:themeColor="accent5" w:themeTint="99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EAADB" w:themeColor="accent5" w:themeTint="99"/>
      </w:rPr>
    </w:tblStylePr>
    <w:tblStylePr w:type="lastCol">
      <w:rPr>
        <w:b/>
        <w:color w:val="8EAADB" w:themeColor="accent5" w:themeTint="99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qFormat/>
    <w:pPr>
      <w:spacing w:after="0" w:line="240" w:lineRule="auto"/>
    </w:pPr>
    <w:tblPr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8D08D" w:themeColor="accent6" w:themeTint="99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8D08D" w:themeColor="accent6" w:themeTint="99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8D08D" w:themeColor="accent6" w:themeTint="99"/>
      </w:rPr>
    </w:tblStylePr>
    <w:tblStylePr w:type="lastCol">
      <w:rPr>
        <w:b/>
        <w:color w:val="A8D08D" w:themeColor="accent6" w:themeTint="99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711">
    <w:name w:val="Список таблиці 7 (кольоровий)1"/>
    <w:basedOn w:val="a1"/>
    <w:uiPriority w:val="99"/>
    <w:qFormat/>
    <w:pPr>
      <w:spacing w:after="0" w:line="240" w:lineRule="auto"/>
    </w:pPr>
    <w:tblPr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single" w:sz="4" w:space="0" w:color="7F7F7F" w:themeColor="text1" w:themeTint="80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/>
        <w:sz w:val="22"/>
      </w:rPr>
      <w:tblPr/>
      <w:tcPr>
        <w:tcBorders>
          <w:top w:val="single" w:sz="4" w:space="0" w:color="7F7F7F" w:themeColor="text1" w:themeTint="80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nil"/>
          <w:bottom w:val="nil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/>
        <w:sz w:val="22"/>
      </w:rPr>
      <w:tblPr/>
      <w:tcPr>
        <w:tcBorders>
          <w:top w:val="nil"/>
          <w:left w:val="single" w:sz="4" w:space="0" w:color="7F7F7F" w:themeColor="text1" w:themeTint="80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single" w:sz="4" w:space="0" w:color="5B9BD5" w:themeColor="accent1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C" w:themeColor="accent1" w:themeShade="94"/>
        <w:sz w:val="22"/>
      </w:rPr>
      <w:tblPr/>
      <w:tcPr>
        <w:tcBorders>
          <w:top w:val="single" w:sz="4" w:space="0" w:color="5B9BD5" w:themeColor="accent1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nil"/>
          <w:bottom w:val="nil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C" w:themeColor="accent1" w:themeShade="94"/>
        <w:sz w:val="22"/>
      </w:rPr>
      <w:tblPr/>
      <w:tcPr>
        <w:tcBorders>
          <w:top w:val="nil"/>
          <w:left w:val="single" w:sz="4" w:space="0" w:color="5B9BD5" w:themeColor="accent1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C" w:themeColor="accent1" w:themeShade="94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C" w:themeColor="accent1" w:themeShade="94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qFormat/>
    <w:pPr>
      <w:spacing w:after="0" w:line="240" w:lineRule="auto"/>
    </w:pPr>
    <w:tblPr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single" w:sz="4" w:space="0" w:color="F4B184" w:themeColor="accent2" w:themeTint="97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285" w:themeColor="accent2" w:themeTint="96"/>
        <w:sz w:val="22"/>
      </w:rPr>
      <w:tblPr/>
      <w:tcPr>
        <w:tcBorders>
          <w:top w:val="single" w:sz="4" w:space="0" w:color="F4B184" w:themeColor="accent2" w:themeTint="97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nil"/>
          <w:bottom w:val="nil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285" w:themeColor="accent2" w:themeTint="96"/>
        <w:sz w:val="22"/>
      </w:rPr>
      <w:tblPr/>
      <w:tcPr>
        <w:tcBorders>
          <w:top w:val="nil"/>
          <w:left w:val="single" w:sz="4" w:space="0" w:color="F4B184" w:themeColor="accent2" w:themeTint="97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285" w:themeColor="accent2" w:themeTint="96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285" w:themeColor="accent2" w:themeTint="96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qFormat/>
    <w:pPr>
      <w:spacing w:after="0" w:line="240" w:lineRule="auto"/>
    </w:pPr>
    <w:tblPr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single" w:sz="4" w:space="0" w:color="C9C9C9" w:themeColor="accent3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9"/>
        <w:sz w:val="22"/>
      </w:rPr>
      <w:tblPr/>
      <w:tcPr>
        <w:tcBorders>
          <w:top w:val="single" w:sz="4" w:space="0" w:color="C9C9C9" w:themeColor="accent3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nil"/>
          <w:bottom w:val="nil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9"/>
        <w:sz w:val="22"/>
      </w:rPr>
      <w:tblPr/>
      <w:tcPr>
        <w:tcBorders>
          <w:top w:val="nil"/>
          <w:left w:val="single" w:sz="4" w:space="0" w:color="C9C9C9" w:themeColor="accent3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9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9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single" w:sz="4" w:space="0" w:color="FFD865" w:themeColor="accent4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966" w:themeColor="accent4" w:themeTint="99"/>
        <w:sz w:val="22"/>
      </w:rPr>
      <w:tblPr/>
      <w:tcPr>
        <w:tcBorders>
          <w:top w:val="single" w:sz="4" w:space="0" w:color="FFD865" w:themeColor="accent4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nil"/>
          <w:bottom w:val="nil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966" w:themeColor="accent4" w:themeTint="99"/>
        <w:sz w:val="22"/>
      </w:rPr>
      <w:tblPr/>
      <w:tcPr>
        <w:tcBorders>
          <w:top w:val="nil"/>
          <w:left w:val="single" w:sz="4" w:space="0" w:color="FFD865" w:themeColor="accent4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966" w:themeColor="accent4" w:themeTint="99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966" w:themeColor="accent4" w:themeTint="99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single" w:sz="4" w:space="0" w:color="8DA9DB" w:themeColor="accent5" w:themeTint="9A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EAADB" w:themeColor="accent5" w:themeTint="99"/>
        <w:sz w:val="22"/>
      </w:rPr>
      <w:tblPr/>
      <w:tcPr>
        <w:tcBorders>
          <w:top w:val="single" w:sz="4" w:space="0" w:color="8DA9DB" w:themeColor="accent5" w:themeTint="9A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nil"/>
          <w:bottom w:val="nil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EAADB" w:themeColor="accent5" w:themeTint="99"/>
        <w:sz w:val="22"/>
      </w:rPr>
      <w:tblPr/>
      <w:tcPr>
        <w:tcBorders>
          <w:top w:val="nil"/>
          <w:left w:val="single" w:sz="4" w:space="0" w:color="8DA9DB" w:themeColor="accent5" w:themeTint="9A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EAADB" w:themeColor="accent5" w:themeTint="99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EAADB" w:themeColor="accent5" w:themeTint="99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single" w:sz="4" w:space="0" w:color="A9D08E" w:themeColor="accent6" w:themeTint="98"/>
          <w:right w:val="nil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8D08D" w:themeColor="accent6" w:themeTint="99"/>
        <w:sz w:val="22"/>
      </w:rPr>
      <w:tblPr/>
      <w:tcPr>
        <w:tcBorders>
          <w:top w:val="single" w:sz="4" w:space="0" w:color="A9D08E" w:themeColor="accent6" w:themeTint="98"/>
          <w:left w:val="nil"/>
          <w:bottom w:val="nil"/>
          <w:right w:val="nil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nil"/>
          <w:bottom w:val="nil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8D08D" w:themeColor="accent6" w:themeTint="99"/>
        <w:sz w:val="22"/>
      </w:rPr>
      <w:tblPr/>
      <w:tcPr>
        <w:tcBorders>
          <w:top w:val="nil"/>
          <w:left w:val="single" w:sz="4" w:space="0" w:color="A9D08E" w:themeColor="accent6" w:themeTint="98"/>
          <w:bottom w:val="nil"/>
          <w:right w:val="nil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8D08D" w:themeColor="accent6" w:themeTint="99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8D08D" w:themeColor="accent6" w:themeTint="99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</w:rPr>
    <w:tblPr/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</w:rPr>
    <w:tblPr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af">
    <w:name w:val="Текст виноски Знак"/>
    <w:link w:val="ae"/>
    <w:uiPriority w:val="99"/>
    <w:rPr>
      <w:sz w:val="18"/>
    </w:rPr>
  </w:style>
  <w:style w:type="character" w:customStyle="1" w:styleId="ab">
    <w:name w:val="Текст кінцевої виноски Знак"/>
    <w:link w:val="aa"/>
    <w:uiPriority w:val="99"/>
    <w:rPr>
      <w:sz w:val="20"/>
    </w:rPr>
  </w:style>
  <w:style w:type="paragraph" w:customStyle="1" w:styleId="15">
    <w:name w:val="Заголовок змісту1"/>
    <w:uiPriority w:val="39"/>
    <w:unhideWhenUsed/>
    <w:rPr>
      <w:sz w:val="22"/>
      <w:szCs w:val="22"/>
      <w:lang w:eastAsia="en-US"/>
    </w:rPr>
  </w:style>
  <w:style w:type="paragraph" w:customStyle="1" w:styleId="16">
    <w:name w:val="Абзац списку1"/>
    <w:basedOn w:val="a"/>
    <w:uiPriority w:val="34"/>
    <w:qFormat/>
    <w:pPr>
      <w:ind w:left="720"/>
      <w:contextualSpacing/>
    </w:pPr>
  </w:style>
  <w:style w:type="character" w:customStyle="1" w:styleId="a7">
    <w:name w:val="Текст примітки Знак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  <w:lang w:eastAsia="zh-CN"/>
    </w:rPr>
  </w:style>
  <w:style w:type="table" w:customStyle="1" w:styleId="StGen4">
    <w:name w:val="StGen4"/>
    <w:basedOn w:val="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  <w:tblPr/>
  </w:style>
  <w:style w:type="table" w:customStyle="1" w:styleId="StGen5">
    <w:name w:val="StGen5"/>
    <w:basedOn w:val="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  <w:tblPr/>
  </w:style>
  <w:style w:type="table" w:customStyle="1" w:styleId="StGen6">
    <w:name w:val="StGen6"/>
    <w:basedOn w:val="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  <w:tblPr/>
  </w:style>
  <w:style w:type="table" w:customStyle="1" w:styleId="StGen7">
    <w:name w:val="StGen7"/>
    <w:basedOn w:val="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zh-CN"/>
    </w:rPr>
    <w:tblPr/>
  </w:style>
  <w:style w:type="character" w:customStyle="1" w:styleId="a4">
    <w:name w:val="Текст у виносці Знак"/>
    <w:basedOn w:val="a0"/>
    <w:link w:val="a3"/>
    <w:uiPriority w:val="99"/>
    <w:semiHidden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9">
    <w:name w:val="Тема примітки Знак"/>
    <w:basedOn w:val="a7"/>
    <w:link w:val="a8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7">
    <w:name w:val="Редакція1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v0030500-21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4871</Words>
  <Characters>2777</Characters>
  <Application>Microsoft Office Word</Application>
  <DocSecurity>0</DocSecurity>
  <Lines>23</Lines>
  <Paragraphs>15</Paragraphs>
  <ScaleCrop>false</ScaleCrop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2022-04-22T06:01:00Z</dcterms:created>
  <dcterms:modified xsi:type="dcterms:W3CDTF">2022-04-22T06:02:00Z</dcterms:modified>
</cp:coreProperties>
</file>