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481"/>
        <w:gridCol w:w="4236"/>
      </w:tblGrid>
      <w:tr w:rsidR="00865639" w:rsidRPr="000C103F" w14:paraId="3AE997F5" w14:textId="77777777" w:rsidTr="00962CE7">
        <w:trPr>
          <w:trHeight w:val="851"/>
        </w:trPr>
        <w:tc>
          <w:tcPr>
            <w:tcW w:w="3206" w:type="dxa"/>
          </w:tcPr>
          <w:p w14:paraId="73ABA09B" w14:textId="77777777" w:rsidR="00865639" w:rsidRPr="000C103F" w:rsidRDefault="00865639" w:rsidP="00865639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2481" w:type="dxa"/>
            <w:vMerge w:val="restart"/>
          </w:tcPr>
          <w:p w14:paraId="1A3D5C3D" w14:textId="77777777" w:rsidR="00865639" w:rsidRPr="000C103F" w:rsidRDefault="00865639" w:rsidP="008F23DE">
            <w:pPr>
              <w:tabs>
                <w:tab w:val="left" w:pos="1224"/>
              </w:tabs>
              <w:spacing w:after="0" w:line="240" w:lineRule="auto"/>
              <w:ind w:left="-51" w:right="-1083"/>
              <w:jc w:val="center"/>
              <w:rPr>
                <w:kern w:val="0"/>
                <w:lang w:bidi="ar-SA"/>
              </w:rPr>
            </w:pPr>
            <w:r w:rsidRPr="000C103F">
              <w:rPr>
                <w:kern w:val="0"/>
                <w:lang w:bidi="ar-SA"/>
              </w:rPr>
              <w:object w:dxaOrig="1595" w:dyaOrig="2201" w14:anchorId="155186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5" type="#_x0000_t75" style="width:33.6pt;height:48pt" o:ole="">
                  <v:imagedata r:id="rId7" o:title=""/>
                </v:shape>
                <o:OLEObject Type="Embed" ProgID="CorelDraw.Graphic.16" ShapeID="_x0000_i1555" DrawAspect="Content" ObjectID="_1709380786" r:id="rId8"/>
              </w:object>
            </w:r>
          </w:p>
        </w:tc>
        <w:tc>
          <w:tcPr>
            <w:tcW w:w="4236" w:type="dxa"/>
          </w:tcPr>
          <w:p w14:paraId="3F084270" w14:textId="573A354E" w:rsidR="00865639" w:rsidRPr="00865639" w:rsidRDefault="00865639" w:rsidP="00962CE7">
            <w:pPr>
              <w:spacing w:after="0" w:line="240" w:lineRule="auto"/>
              <w:ind w:left="-551" w:firstLine="851"/>
              <w:rPr>
                <w:kern w:val="0"/>
                <w:lang w:val="en-US" w:bidi="ar-SA"/>
              </w:rPr>
            </w:pPr>
            <w:r w:rsidRPr="008D1676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21</w:t>
            </w:r>
            <w:r w:rsidRPr="008D16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8D16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865639" w:rsidRPr="000C103F" w14:paraId="1F141868" w14:textId="77777777" w:rsidTr="00962CE7">
        <w:tc>
          <w:tcPr>
            <w:tcW w:w="3206" w:type="dxa"/>
          </w:tcPr>
          <w:p w14:paraId="2E77609B" w14:textId="77777777" w:rsidR="00865639" w:rsidRPr="000C103F" w:rsidRDefault="00865639" w:rsidP="00865639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2481" w:type="dxa"/>
            <w:vMerge/>
          </w:tcPr>
          <w:p w14:paraId="34C1E28A" w14:textId="77777777" w:rsidR="00865639" w:rsidRPr="000C103F" w:rsidRDefault="00865639" w:rsidP="00865639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4236" w:type="dxa"/>
          </w:tcPr>
          <w:p w14:paraId="0D1CA5DF" w14:textId="77777777" w:rsidR="00865639" w:rsidRPr="000C103F" w:rsidRDefault="00865639" w:rsidP="00865639">
            <w:pPr>
              <w:spacing w:after="0" w:line="240" w:lineRule="auto"/>
              <w:rPr>
                <w:kern w:val="0"/>
                <w:lang w:bidi="ar-SA"/>
              </w:rPr>
            </w:pPr>
          </w:p>
        </w:tc>
      </w:tr>
      <w:tr w:rsidR="00865639" w:rsidRPr="000C103F" w14:paraId="462B792C" w14:textId="77777777" w:rsidTr="00962CE7">
        <w:tc>
          <w:tcPr>
            <w:tcW w:w="9923" w:type="dxa"/>
            <w:gridSpan w:val="3"/>
          </w:tcPr>
          <w:p w14:paraId="60F910B1" w14:textId="77777777" w:rsidR="00865639" w:rsidRPr="000C103F" w:rsidRDefault="00865639" w:rsidP="00865639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b/>
                <w:bCs/>
                <w:color w:val="006600"/>
                <w:spacing w:val="10"/>
                <w:kern w:val="0"/>
                <w:lang w:bidi="ar-SA"/>
              </w:rPr>
            </w:pPr>
            <w:r w:rsidRPr="000C103F">
              <w:rPr>
                <w:b/>
                <w:bCs/>
                <w:color w:val="006600"/>
                <w:spacing w:val="10"/>
                <w:kern w:val="0"/>
                <w:lang w:bidi="ar-SA"/>
              </w:rPr>
              <w:t>Правління Національного банку України</w:t>
            </w:r>
          </w:p>
          <w:p w14:paraId="4E023802" w14:textId="77777777" w:rsidR="00865639" w:rsidRPr="000C103F" w:rsidRDefault="00865639" w:rsidP="00865639">
            <w:pPr>
              <w:spacing w:after="0" w:line="240" w:lineRule="auto"/>
              <w:jc w:val="center"/>
              <w:rPr>
                <w:kern w:val="0"/>
                <w:lang w:bidi="ar-SA"/>
              </w:rPr>
            </w:pPr>
            <w:r w:rsidRPr="000C103F">
              <w:rPr>
                <w:b/>
                <w:bCs/>
                <w:color w:val="006600"/>
                <w:kern w:val="0"/>
                <w:sz w:val="32"/>
                <w:szCs w:val="32"/>
                <w:lang w:bidi="ar-SA"/>
              </w:rPr>
              <w:t>П О С Т А Н О В А</w:t>
            </w:r>
          </w:p>
        </w:tc>
      </w:tr>
    </w:tbl>
    <w:p w14:paraId="0CD45BAA" w14:textId="77777777" w:rsidR="000C103F" w:rsidRPr="000C103F" w:rsidRDefault="000C103F" w:rsidP="000C103F">
      <w:pPr>
        <w:spacing w:after="0" w:line="240" w:lineRule="auto"/>
        <w:rPr>
          <w:kern w:val="0"/>
          <w:sz w:val="4"/>
          <w:szCs w:val="4"/>
          <w:lang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0C103F" w:rsidRPr="000C103F" w14:paraId="0C67294A" w14:textId="77777777" w:rsidTr="00511774">
        <w:tc>
          <w:tcPr>
            <w:tcW w:w="3510" w:type="dxa"/>
            <w:vAlign w:val="bottom"/>
          </w:tcPr>
          <w:p w14:paraId="49CD3198" w14:textId="3CEB5E09" w:rsidR="000C103F" w:rsidRPr="00865639" w:rsidRDefault="00865639" w:rsidP="000C103F">
            <w:pPr>
              <w:spacing w:after="0" w:line="240" w:lineRule="auto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21</w:t>
            </w:r>
            <w:r>
              <w:rPr>
                <w:kern w:val="0"/>
                <w:lang w:bidi="ar-SA"/>
              </w:rPr>
              <w:t xml:space="preserve"> березня 2022 року</w:t>
            </w:r>
          </w:p>
        </w:tc>
        <w:tc>
          <w:tcPr>
            <w:tcW w:w="2694" w:type="dxa"/>
          </w:tcPr>
          <w:p w14:paraId="5FF46DD5" w14:textId="77777777" w:rsidR="000C103F" w:rsidRPr="000C103F" w:rsidRDefault="000C103F" w:rsidP="000C103F">
            <w:pPr>
              <w:spacing w:before="240" w:after="0" w:line="240" w:lineRule="auto"/>
              <w:jc w:val="center"/>
              <w:rPr>
                <w:kern w:val="0"/>
                <w:lang w:bidi="ar-SA"/>
              </w:rPr>
            </w:pPr>
            <w:r w:rsidRPr="000C103F">
              <w:rPr>
                <w:color w:val="006600"/>
                <w:kern w:val="0"/>
                <w:lang w:bidi="ar-SA"/>
              </w:rPr>
              <w:t>Київ</w:t>
            </w:r>
          </w:p>
        </w:tc>
        <w:tc>
          <w:tcPr>
            <w:tcW w:w="1713" w:type="dxa"/>
            <w:vAlign w:val="bottom"/>
          </w:tcPr>
          <w:p w14:paraId="3F266782" w14:textId="3D0A3C3A" w:rsidR="000C103F" w:rsidRPr="000C103F" w:rsidRDefault="000C103F" w:rsidP="000C103F">
            <w:pPr>
              <w:spacing w:after="0" w:line="240" w:lineRule="auto"/>
              <w:jc w:val="right"/>
              <w:rPr>
                <w:kern w:val="0"/>
                <w:lang w:val="en-US" w:bidi="ar-SA"/>
              </w:rPr>
            </w:pPr>
          </w:p>
        </w:tc>
        <w:tc>
          <w:tcPr>
            <w:tcW w:w="1937" w:type="dxa"/>
            <w:vAlign w:val="bottom"/>
          </w:tcPr>
          <w:p w14:paraId="3F5DCBFB" w14:textId="149B11D0" w:rsidR="000C103F" w:rsidRPr="000C103F" w:rsidRDefault="00865639" w:rsidP="000C103F">
            <w:pPr>
              <w:spacing w:after="0" w:line="240" w:lineRule="auto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№ 56</w:t>
            </w:r>
          </w:p>
        </w:tc>
      </w:tr>
    </w:tbl>
    <w:p w14:paraId="1360AC52" w14:textId="77777777" w:rsidR="000C103F" w:rsidRDefault="000C103F" w:rsidP="00E81DE4">
      <w:pPr>
        <w:tabs>
          <w:tab w:val="left" w:pos="6156"/>
        </w:tabs>
        <w:spacing w:after="0" w:line="240" w:lineRule="auto"/>
        <w:jc w:val="center"/>
      </w:pPr>
    </w:p>
    <w:p w14:paraId="6F30C7B1" w14:textId="77777777" w:rsidR="000C103F" w:rsidRDefault="000C103F" w:rsidP="00E81DE4">
      <w:pPr>
        <w:tabs>
          <w:tab w:val="left" w:pos="6156"/>
        </w:tabs>
        <w:spacing w:after="0" w:line="240" w:lineRule="auto"/>
        <w:jc w:val="center"/>
      </w:pPr>
    </w:p>
    <w:p w14:paraId="0F63406E" w14:textId="5E5B49F3" w:rsidR="00F43641" w:rsidRDefault="00821B4B" w:rsidP="00E81DE4">
      <w:pPr>
        <w:tabs>
          <w:tab w:val="left" w:pos="6156"/>
        </w:tabs>
        <w:spacing w:after="0" w:line="240" w:lineRule="auto"/>
        <w:jc w:val="center"/>
      </w:pPr>
      <w:r>
        <w:t xml:space="preserve">Про внесення змін до деяких нормативно-правових актів </w:t>
      </w:r>
    </w:p>
    <w:p w14:paraId="402A1522" w14:textId="1165F48B" w:rsidR="00821B4B" w:rsidRDefault="00821B4B" w:rsidP="00E81DE4">
      <w:pPr>
        <w:tabs>
          <w:tab w:val="left" w:pos="6156"/>
        </w:tabs>
        <w:spacing w:after="0" w:line="240" w:lineRule="auto"/>
        <w:jc w:val="center"/>
      </w:pPr>
      <w:r>
        <w:t>Національного банку України</w:t>
      </w:r>
    </w:p>
    <w:p w14:paraId="2979876E" w14:textId="3BCEB19B" w:rsidR="00821B4B" w:rsidRDefault="00821B4B" w:rsidP="00821B4B">
      <w:pPr>
        <w:spacing w:before="240" w:after="240" w:line="240" w:lineRule="auto"/>
        <w:ind w:firstLine="567"/>
        <w:rPr>
          <w:rFonts w:eastAsia="SimSun"/>
        </w:rPr>
      </w:pPr>
      <w:r>
        <w:rPr>
          <w:rFonts w:eastAsia="SimSun"/>
        </w:rPr>
        <w:t>Відповідно до статей 7, 15, 55</w:t>
      </w:r>
      <w:r>
        <w:rPr>
          <w:rFonts w:eastAsia="SimSun"/>
          <w:vertAlign w:val="superscript"/>
        </w:rPr>
        <w:t>1</w:t>
      </w:r>
      <w:r>
        <w:rPr>
          <w:rFonts w:eastAsia="SimSun"/>
        </w:rPr>
        <w:t xml:space="preserve">, 56 Закону України “Про Національний банк України”, статей 21, 27, 28, 29 Закону України “Про фінансові послуги та державне регулювання ринків фінансових послуг”, Закону України від 24 лютого 2022 року № 2102-IX «Про затвердження Указу Президента України “Про введення воєнного стану в Україні”», Указу Президента України від 24 лютого 2022 року № 64/2022 “Про введення воєнного стану в Україні”, з метою запобігання кризовим явищам у період запровадження воєнного стану та мінімізації негативного впливу наслідків військової агресії Російської Федерації Правління Національного банку України </w:t>
      </w:r>
      <w:r>
        <w:rPr>
          <w:rFonts w:eastAsia="SimSun"/>
          <w:b/>
          <w:bCs/>
        </w:rPr>
        <w:t>постановляє:</w:t>
      </w:r>
    </w:p>
    <w:p w14:paraId="364D44C7" w14:textId="26C4E6E3" w:rsidR="00821B4B" w:rsidRDefault="00821B4B" w:rsidP="00821B4B">
      <w:pPr>
        <w:spacing w:before="240" w:after="240" w:line="240" w:lineRule="auto"/>
        <w:ind w:firstLine="567"/>
        <w:rPr>
          <w:rFonts w:eastAsia="SimSun"/>
        </w:rPr>
      </w:pPr>
      <w:r w:rsidRPr="00FF209E">
        <w:rPr>
          <w:rFonts w:eastAsia="SimSun"/>
        </w:rPr>
        <w:t>1. У</w:t>
      </w:r>
      <w:r>
        <w:rPr>
          <w:rFonts w:eastAsia="SimSun"/>
        </w:rPr>
        <w:t xml:space="preserve"> підпункті 2 пункту 2 постанови Правління Національного банку України від 05 жовтня 2021 року № 100 “Про затвердження Положення про інформаційне забезпечення фінансовими установами споживачів щодо надання послуг споживчого кредитування” слова “шести місяців із дня набрання чинності цією постановою” замінити словами </w:t>
      </w:r>
      <w:r w:rsidR="00CE27EF">
        <w:rPr>
          <w:rFonts w:eastAsia="SimSun"/>
        </w:rPr>
        <w:t>“</w:t>
      </w:r>
      <w:r>
        <w:rPr>
          <w:rFonts w:eastAsia="SimSun"/>
        </w:rPr>
        <w:t>двох місяців із дня припинення або скасування воєнного стану в Україні</w:t>
      </w:r>
      <w:r w:rsidR="00CE27EF">
        <w:rPr>
          <w:rFonts w:eastAsia="SimSun"/>
        </w:rPr>
        <w:t>”</w:t>
      </w:r>
      <w:r>
        <w:rPr>
          <w:rFonts w:eastAsia="SimSun"/>
        </w:rPr>
        <w:t>.</w:t>
      </w:r>
    </w:p>
    <w:p w14:paraId="4D545A83" w14:textId="18B50CC8" w:rsidR="00821B4B" w:rsidRDefault="00821B4B" w:rsidP="00E81DE4">
      <w:pPr>
        <w:spacing w:before="240" w:after="240" w:line="240" w:lineRule="auto"/>
        <w:ind w:firstLine="567"/>
        <w:rPr>
          <w:rFonts w:eastAsia="SimSun"/>
        </w:rPr>
      </w:pPr>
      <w:r w:rsidRPr="00FF209E">
        <w:rPr>
          <w:rFonts w:eastAsia="SimSun"/>
          <w:lang w:val="ru-RU"/>
        </w:rPr>
        <w:t>2</w:t>
      </w:r>
      <w:r w:rsidRPr="00FF209E">
        <w:rPr>
          <w:rFonts w:eastAsia="SimSun"/>
        </w:rPr>
        <w:t>.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Унести</w:t>
      </w:r>
      <w:proofErr w:type="spellEnd"/>
      <w:r>
        <w:rPr>
          <w:rFonts w:eastAsia="SimSun"/>
        </w:rPr>
        <w:t xml:space="preserve"> до постанови Правління Національного банку України </w:t>
      </w:r>
      <w:r w:rsidR="00EC3041">
        <w:rPr>
          <w:rFonts w:eastAsia="SimSun"/>
        </w:rPr>
        <w:t xml:space="preserve">від 05 листопада 2021 року № 114 </w:t>
      </w:r>
      <w:r>
        <w:rPr>
          <w:rFonts w:eastAsia="SimSun"/>
          <w:lang w:val="ru-RU"/>
        </w:rPr>
        <w:t>“</w:t>
      </w:r>
      <w:r>
        <w:rPr>
          <w:rFonts w:eastAsia="SimSun"/>
        </w:rPr>
        <w:t>Про затвердження Положення про порядок розкриття інформації небанківськими фінансовими установами</w:t>
      </w:r>
      <w:r>
        <w:rPr>
          <w:rFonts w:eastAsia="SimSun"/>
          <w:lang w:val="ru-RU"/>
        </w:rPr>
        <w:t>”</w:t>
      </w:r>
      <w:r>
        <w:rPr>
          <w:rFonts w:eastAsia="SimSun"/>
        </w:rPr>
        <w:t xml:space="preserve"> такі зміни:</w:t>
      </w:r>
    </w:p>
    <w:p w14:paraId="382133B9" w14:textId="74B810F8" w:rsidR="00821B4B" w:rsidRDefault="00821B4B" w:rsidP="00E81DE4">
      <w:pPr>
        <w:spacing w:after="0" w:line="240" w:lineRule="auto"/>
        <w:ind w:firstLine="567"/>
        <w:rPr>
          <w:rFonts w:eastAsia="SimSun"/>
        </w:rPr>
      </w:pPr>
      <w:r>
        <w:rPr>
          <w:rFonts w:eastAsia="SimSun"/>
        </w:rPr>
        <w:t xml:space="preserve">1) підпункт 2 пункту 2 викласти </w:t>
      </w:r>
      <w:r w:rsidR="00EC3041">
        <w:rPr>
          <w:rFonts w:eastAsia="SimSun"/>
        </w:rPr>
        <w:t xml:space="preserve">в </w:t>
      </w:r>
      <w:r>
        <w:rPr>
          <w:rFonts w:eastAsia="SimSun"/>
        </w:rPr>
        <w:t xml:space="preserve">такій редакції: </w:t>
      </w:r>
    </w:p>
    <w:p w14:paraId="6CCA1BC4" w14:textId="72F8F931" w:rsidR="00821B4B" w:rsidRDefault="00821B4B" w:rsidP="00E81DE4">
      <w:pPr>
        <w:spacing w:after="0" w:line="240" w:lineRule="auto"/>
        <w:ind w:firstLine="567"/>
        <w:rPr>
          <w:rFonts w:eastAsia="SimSun"/>
        </w:rPr>
      </w:pPr>
      <w:r>
        <w:rPr>
          <w:rFonts w:eastAsia="SimSun"/>
        </w:rPr>
        <w:t xml:space="preserve">“2) чотирьох місяців із дня припинення або скасування воєнного стану в Україні </w:t>
      </w:r>
      <w:r>
        <w:t xml:space="preserve">привести свою діяльність у відповідність до вимог пункту 23 розділу ІІ </w:t>
      </w:r>
      <w:r w:rsidRPr="000838A8">
        <w:t>Положення</w:t>
      </w:r>
      <w:r>
        <w:t>.</w:t>
      </w:r>
      <w:r>
        <w:rPr>
          <w:rFonts w:eastAsia="SimSun"/>
        </w:rPr>
        <w:t>”;</w:t>
      </w:r>
    </w:p>
    <w:p w14:paraId="547CC416" w14:textId="77777777" w:rsidR="00F526E3" w:rsidRDefault="00F526E3" w:rsidP="00E81DE4">
      <w:pPr>
        <w:spacing w:after="0" w:line="240" w:lineRule="auto"/>
        <w:ind w:firstLine="567"/>
        <w:rPr>
          <w:rFonts w:eastAsia="SimSun"/>
        </w:rPr>
      </w:pPr>
    </w:p>
    <w:p w14:paraId="20982D0F" w14:textId="6F99E779" w:rsidR="00821B4B" w:rsidRDefault="00821B4B" w:rsidP="00E81DE4">
      <w:pPr>
        <w:spacing w:after="0" w:line="240" w:lineRule="auto"/>
        <w:ind w:firstLine="567"/>
        <w:rPr>
          <w:rFonts w:eastAsia="SimSun"/>
        </w:rPr>
      </w:pPr>
      <w:r>
        <w:rPr>
          <w:rFonts w:eastAsia="SimSun"/>
        </w:rPr>
        <w:t>2) постанову після пункту 2 доповнити новим пунктом 2</w:t>
      </w:r>
      <w:r w:rsidRPr="007C4F30">
        <w:rPr>
          <w:rFonts w:eastAsia="SimSun"/>
          <w:vertAlign w:val="superscript"/>
        </w:rPr>
        <w:t>1</w:t>
      </w:r>
      <w:r>
        <w:rPr>
          <w:rFonts w:eastAsia="SimSun"/>
        </w:rPr>
        <w:t xml:space="preserve"> такого змісту:</w:t>
      </w:r>
    </w:p>
    <w:p w14:paraId="09055FDC" w14:textId="25A205CB" w:rsidR="00821B4B" w:rsidRDefault="00821B4B" w:rsidP="00E81DE4">
      <w:pPr>
        <w:spacing w:after="0" w:line="240" w:lineRule="auto"/>
        <w:ind w:firstLine="567"/>
        <w:rPr>
          <w:rFonts w:eastAsia="SimSun"/>
        </w:rPr>
      </w:pPr>
      <w:r>
        <w:rPr>
          <w:rFonts w:eastAsia="SimSun"/>
        </w:rPr>
        <w:t>“2</w:t>
      </w:r>
      <w:r w:rsidRPr="009A4BFF">
        <w:rPr>
          <w:rFonts w:eastAsia="SimSun"/>
          <w:vertAlign w:val="superscript"/>
        </w:rPr>
        <w:t>1</w:t>
      </w:r>
      <w:r>
        <w:rPr>
          <w:rFonts w:eastAsia="SimSun"/>
        </w:rPr>
        <w:t xml:space="preserve">. </w:t>
      </w:r>
      <w:r w:rsidRPr="000838A8">
        <w:rPr>
          <w:rFonts w:eastAsia="SimSun"/>
        </w:rPr>
        <w:t>Небанківським фінансовим установам та юридичним особам, які не є фінансовими установами, але мають право надавати окремі фінансові послуги, державне регулювання та нагляд за діяльністю яких здійснює Національний банк України</w:t>
      </w:r>
      <w:r>
        <w:rPr>
          <w:rFonts w:eastAsia="SimSun"/>
        </w:rPr>
        <w:t>, які не приве</w:t>
      </w:r>
      <w:r>
        <w:t xml:space="preserve">ли свою діяльність у відповідність до вимог Положення відповідно до підпункту 1 пункту 2 цієї </w:t>
      </w:r>
      <w:r w:rsidR="00EC3041">
        <w:t>п</w:t>
      </w:r>
      <w:r>
        <w:t>останови у зв</w:t>
      </w:r>
      <w:r w:rsidR="00EC3041">
        <w:t>’</w:t>
      </w:r>
      <w:r>
        <w:t xml:space="preserve">язку з </w:t>
      </w:r>
      <w:r w:rsidR="00EC3041">
        <w:t>у</w:t>
      </w:r>
      <w:r>
        <w:t xml:space="preserve">веденням воєнного </w:t>
      </w:r>
      <w:r>
        <w:lastRenderedPageBreak/>
        <w:t>стану в Україн</w:t>
      </w:r>
      <w:r w:rsidR="00DA6BD2">
        <w:t>і</w:t>
      </w:r>
      <w:r>
        <w:t>, привести свою діяльність у відповідність до вимог</w:t>
      </w:r>
      <w:r>
        <w:rPr>
          <w:rFonts w:eastAsia="SimSun"/>
        </w:rPr>
        <w:t xml:space="preserve"> Положення протягом чотирьох місяців із </w:t>
      </w:r>
      <w:r w:rsidR="00DA6BD2">
        <w:rPr>
          <w:rFonts w:eastAsia="SimSun"/>
        </w:rPr>
        <w:t>дня</w:t>
      </w:r>
      <w:r>
        <w:rPr>
          <w:rFonts w:eastAsia="SimSun"/>
        </w:rPr>
        <w:t xml:space="preserve"> припинення або скасування воєнного стану в Україні.”.</w:t>
      </w:r>
    </w:p>
    <w:p w14:paraId="48D28440" w14:textId="77777777" w:rsidR="00F526E3" w:rsidRDefault="00F526E3" w:rsidP="00E81DE4">
      <w:pPr>
        <w:spacing w:after="0" w:line="240" w:lineRule="auto"/>
        <w:ind w:firstLine="567"/>
        <w:rPr>
          <w:rFonts w:eastAsia="SimSun"/>
        </w:rPr>
      </w:pPr>
    </w:p>
    <w:p w14:paraId="2E3B325F" w14:textId="49487DF3" w:rsidR="00821B4B" w:rsidRDefault="00821B4B" w:rsidP="00E81DE4">
      <w:pPr>
        <w:spacing w:after="0" w:line="240" w:lineRule="auto"/>
        <w:ind w:firstLine="567"/>
        <w:rPr>
          <w:rFonts w:eastAsia="SimSun"/>
        </w:rPr>
      </w:pPr>
      <w:r>
        <w:rPr>
          <w:rFonts w:eastAsia="SimSun"/>
          <w:lang w:val="ru-RU"/>
        </w:rPr>
        <w:t xml:space="preserve">3. </w:t>
      </w:r>
      <w:r>
        <w:rPr>
          <w:rFonts w:eastAsia="SimSun"/>
        </w:rPr>
        <w:t xml:space="preserve">Пункт 2 постанови Правління Національного банку України </w:t>
      </w:r>
      <w:r w:rsidR="00EC3041">
        <w:rPr>
          <w:rFonts w:eastAsia="SimSun"/>
        </w:rPr>
        <w:t xml:space="preserve">від 29 грудня 2021 року № 156 </w:t>
      </w:r>
      <w:r>
        <w:rPr>
          <w:rFonts w:eastAsia="SimSun"/>
          <w:lang w:val="ru-RU"/>
        </w:rPr>
        <w:t>“</w:t>
      </w:r>
      <w:r>
        <w:t>Про затвердження Положення про впорядкування діяльності з надання супровідних послуг на ринку фінансового лізингу</w:t>
      </w:r>
      <w:r>
        <w:rPr>
          <w:rFonts w:eastAsia="SimSun"/>
          <w:lang w:val="ru-RU"/>
        </w:rPr>
        <w:t>”</w:t>
      </w:r>
      <w:r>
        <w:rPr>
          <w:rFonts w:eastAsia="SimSun"/>
        </w:rPr>
        <w:t xml:space="preserve"> викласти </w:t>
      </w:r>
      <w:r w:rsidR="00EC3041">
        <w:rPr>
          <w:rFonts w:eastAsia="SimSun"/>
        </w:rPr>
        <w:t xml:space="preserve">в </w:t>
      </w:r>
      <w:r>
        <w:rPr>
          <w:rFonts w:eastAsia="SimSun"/>
        </w:rPr>
        <w:t>такій редакції:</w:t>
      </w:r>
    </w:p>
    <w:p w14:paraId="300829E0" w14:textId="0CF18A7A" w:rsidR="00821B4B" w:rsidRDefault="00CE27EF" w:rsidP="00E81DE4">
      <w:pPr>
        <w:spacing w:after="0" w:line="240" w:lineRule="auto"/>
        <w:ind w:firstLine="567"/>
      </w:pPr>
      <w:r w:rsidRPr="00CE27EF">
        <w:rPr>
          <w:rFonts w:eastAsia="SimSun"/>
        </w:rPr>
        <w:t>“</w:t>
      </w:r>
      <w:r w:rsidR="00821B4B">
        <w:t xml:space="preserve">2. Небанківським фінансовим установам та особам, які не є фінансовими установами, але мають право надавати окремі фінансові послуги на підставі ліцензії на здійснення діяльності з надання послуг фінансового лізингу, та особам, які надають посередницькі послуги на ринку фінансового лізингу, привести свою діяльність у відповідність до вимог Положення </w:t>
      </w:r>
      <w:r w:rsidR="00821B4B">
        <w:rPr>
          <w:rFonts w:eastAsia="SimSun"/>
        </w:rPr>
        <w:t>протягом чотирьох місяців із дня припинення або скасування воєнного стану в Україні</w:t>
      </w:r>
      <w:r>
        <w:rPr>
          <w:rFonts w:eastAsia="SimSun"/>
        </w:rPr>
        <w:t>.”</w:t>
      </w:r>
      <w:r w:rsidR="00821B4B">
        <w:rPr>
          <w:rFonts w:eastAsia="SimSun"/>
        </w:rPr>
        <w:t>.</w:t>
      </w:r>
    </w:p>
    <w:p w14:paraId="443B352A" w14:textId="77777777" w:rsidR="00821B4B" w:rsidRDefault="00821B4B" w:rsidP="00821B4B">
      <w:pPr>
        <w:spacing w:before="240" w:after="240" w:line="240" w:lineRule="auto"/>
        <w:ind w:firstLine="567"/>
        <w:rPr>
          <w:lang w:eastAsia="en-US"/>
        </w:rPr>
      </w:pPr>
      <w:r>
        <w:rPr>
          <w:rFonts w:eastAsia="SimSun"/>
          <w:lang w:val="ru-RU"/>
        </w:rPr>
        <w:t>4</w:t>
      </w:r>
      <w:r>
        <w:rPr>
          <w:rFonts w:eastAsia="SimSun"/>
        </w:rPr>
        <w:t>. Постанова набирає чинності з дня, наступного за днем її офіційного опублікування.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821B4B" w14:paraId="0CB8AB7B" w14:textId="77777777" w:rsidTr="007C4F30">
        <w:tc>
          <w:tcPr>
            <w:tcW w:w="5493" w:type="dxa"/>
            <w:shd w:val="clear" w:color="auto" w:fill="auto"/>
            <w:vAlign w:val="bottom"/>
          </w:tcPr>
          <w:p w14:paraId="31B7F973" w14:textId="77777777" w:rsidR="00EC3041" w:rsidRDefault="00EC3041" w:rsidP="007C4F30">
            <w:pPr>
              <w:spacing w:before="240" w:after="240" w:line="240" w:lineRule="auto"/>
            </w:pPr>
          </w:p>
          <w:p w14:paraId="2E736E57" w14:textId="4DDCFBE2" w:rsidR="00821B4B" w:rsidRDefault="00821B4B" w:rsidP="007C4F30">
            <w:pPr>
              <w:spacing w:before="240" w:after="240" w:line="240" w:lineRule="auto"/>
            </w:pPr>
            <w:r>
              <w:t>Голова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D5CD088" w14:textId="77777777" w:rsidR="00821B4B" w:rsidRDefault="00821B4B" w:rsidP="007C4F30">
            <w:pPr>
              <w:tabs>
                <w:tab w:val="left" w:pos="7020"/>
                <w:tab w:val="left" w:pos="7200"/>
              </w:tabs>
              <w:spacing w:before="240" w:after="240" w:line="240" w:lineRule="auto"/>
              <w:ind w:firstLine="567"/>
              <w:jc w:val="right"/>
            </w:pPr>
            <w:r>
              <w:t>Кирило ШЕВЧЕНКО</w:t>
            </w:r>
          </w:p>
        </w:tc>
      </w:tr>
    </w:tbl>
    <w:p w14:paraId="23973865" w14:textId="77777777" w:rsidR="00821B4B" w:rsidRDefault="00821B4B" w:rsidP="00821B4B">
      <w:pPr>
        <w:spacing w:after="0" w:line="240" w:lineRule="auto"/>
      </w:pPr>
    </w:p>
    <w:p w14:paraId="7B5B42B2" w14:textId="77777777" w:rsidR="00821B4B" w:rsidRDefault="00821B4B" w:rsidP="00821B4B">
      <w:pPr>
        <w:spacing w:after="0" w:line="240" w:lineRule="auto"/>
        <w:rPr>
          <w:rFonts w:eastAsia="SimSun"/>
        </w:rPr>
      </w:pPr>
    </w:p>
    <w:p w14:paraId="771A95DB" w14:textId="77777777" w:rsidR="00821B4B" w:rsidRDefault="00821B4B" w:rsidP="00821B4B">
      <w:pPr>
        <w:spacing w:after="0" w:line="240" w:lineRule="auto"/>
      </w:pPr>
      <w:r>
        <w:rPr>
          <w:rFonts w:eastAsia="SimSun"/>
        </w:rPr>
        <w:t>Інд. 33</w:t>
      </w:r>
    </w:p>
    <w:p w14:paraId="47E61B5D" w14:textId="77777777" w:rsidR="00B14039" w:rsidRDefault="00B14039"/>
    <w:sectPr w:rsidR="00B14039" w:rsidSect="00962CE7">
      <w:headerReference w:type="default" r:id="rId9"/>
      <w:pgSz w:w="11906" w:h="16838"/>
      <w:pgMar w:top="567" w:right="567" w:bottom="170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2914" w14:textId="77777777" w:rsidR="00066124" w:rsidRDefault="00066124">
      <w:pPr>
        <w:spacing w:after="0" w:line="240" w:lineRule="auto"/>
      </w:pPr>
      <w:r>
        <w:separator/>
      </w:r>
    </w:p>
  </w:endnote>
  <w:endnote w:type="continuationSeparator" w:id="0">
    <w:p w14:paraId="0D6CC675" w14:textId="77777777" w:rsidR="00066124" w:rsidRDefault="0006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9951" w14:textId="77777777" w:rsidR="00066124" w:rsidRDefault="00066124">
      <w:pPr>
        <w:spacing w:after="0" w:line="240" w:lineRule="auto"/>
      </w:pPr>
      <w:r>
        <w:separator/>
      </w:r>
    </w:p>
  </w:footnote>
  <w:footnote w:type="continuationSeparator" w:id="0">
    <w:p w14:paraId="4AAAB58B" w14:textId="77777777" w:rsidR="00066124" w:rsidRDefault="0006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841570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0061AFC8" w14:textId="6B0F963B" w:rsidR="00ED2F72" w:rsidRPr="00F43641" w:rsidRDefault="00553CC6">
        <w:pPr>
          <w:pStyle w:val="a4"/>
          <w:jc w:val="center"/>
          <w:rPr>
            <w:szCs w:val="28"/>
          </w:rPr>
        </w:pPr>
        <w:r w:rsidRPr="00F43641">
          <w:rPr>
            <w:szCs w:val="28"/>
          </w:rPr>
          <w:fldChar w:fldCharType="begin"/>
        </w:r>
        <w:r w:rsidRPr="00F43641">
          <w:rPr>
            <w:szCs w:val="28"/>
          </w:rPr>
          <w:instrText>PAGE</w:instrText>
        </w:r>
        <w:r w:rsidRPr="00F43641">
          <w:rPr>
            <w:szCs w:val="28"/>
          </w:rPr>
          <w:fldChar w:fldCharType="separate"/>
        </w:r>
        <w:r w:rsidR="000C103F">
          <w:rPr>
            <w:noProof/>
            <w:szCs w:val="28"/>
          </w:rPr>
          <w:t>2</w:t>
        </w:r>
        <w:r w:rsidRPr="00F43641">
          <w:rPr>
            <w:szCs w:val="28"/>
          </w:rPr>
          <w:fldChar w:fldCharType="end"/>
        </w:r>
      </w:p>
    </w:sdtContent>
  </w:sdt>
  <w:p w14:paraId="3EA14D12" w14:textId="77777777" w:rsidR="00ED2F72" w:rsidRDefault="000661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4B"/>
    <w:rsid w:val="0001634D"/>
    <w:rsid w:val="00066124"/>
    <w:rsid w:val="000C103F"/>
    <w:rsid w:val="00320B13"/>
    <w:rsid w:val="00406BF9"/>
    <w:rsid w:val="004E53D1"/>
    <w:rsid w:val="00553CC6"/>
    <w:rsid w:val="005C6D16"/>
    <w:rsid w:val="00821B4B"/>
    <w:rsid w:val="008365FE"/>
    <w:rsid w:val="00865639"/>
    <w:rsid w:val="008F23DE"/>
    <w:rsid w:val="00962CE7"/>
    <w:rsid w:val="00B14039"/>
    <w:rsid w:val="00B45B50"/>
    <w:rsid w:val="00B76FBB"/>
    <w:rsid w:val="00BB7484"/>
    <w:rsid w:val="00C7368D"/>
    <w:rsid w:val="00CE27EF"/>
    <w:rsid w:val="00DA6BD2"/>
    <w:rsid w:val="00E81DE4"/>
    <w:rsid w:val="00EC3041"/>
    <w:rsid w:val="00F43641"/>
    <w:rsid w:val="00F526E3"/>
    <w:rsid w:val="00F7000E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6D8D"/>
  <w15:chartTrackingRefBased/>
  <w15:docId w15:val="{048950B8-824E-4C08-BBFC-EC88516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4B"/>
    <w:pPr>
      <w:spacing w:after="200" w:line="276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21B4B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21B4B"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character" w:customStyle="1" w:styleId="a5">
    <w:name w:val="Верхній колонтитул Знак"/>
    <w:basedOn w:val="a0"/>
    <w:link w:val="a4"/>
    <w:uiPriority w:val="99"/>
    <w:rsid w:val="00821B4B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6">
    <w:name w:val="annotation text"/>
    <w:basedOn w:val="a"/>
    <w:link w:val="a7"/>
    <w:uiPriority w:val="99"/>
    <w:semiHidden/>
    <w:unhideWhenUsed/>
    <w:qFormat/>
    <w:rsid w:val="00821B4B"/>
    <w:pPr>
      <w:spacing w:line="240" w:lineRule="auto"/>
    </w:pPr>
    <w:rPr>
      <w:rFonts w:cs="Mangal"/>
      <w:sz w:val="20"/>
      <w:szCs w:val="18"/>
    </w:rPr>
  </w:style>
  <w:style w:type="character" w:customStyle="1" w:styleId="a7">
    <w:name w:val="Текст примітки Знак"/>
    <w:basedOn w:val="a0"/>
    <w:link w:val="a6"/>
    <w:uiPriority w:val="99"/>
    <w:semiHidden/>
    <w:rsid w:val="00821B4B"/>
    <w:rPr>
      <w:rFonts w:ascii="Times New Roman" w:eastAsia="Times New Roman" w:hAnsi="Times New Roman" w:cs="Mangal"/>
      <w:kern w:val="2"/>
      <w:sz w:val="20"/>
      <w:szCs w:val="18"/>
      <w:lang w:eastAsia="uk-UA" w:bidi="hi-IN"/>
    </w:rPr>
  </w:style>
  <w:style w:type="paragraph" w:styleId="a8">
    <w:name w:val="footer"/>
    <w:basedOn w:val="a"/>
    <w:link w:val="a9"/>
    <w:uiPriority w:val="99"/>
    <w:unhideWhenUsed/>
    <w:rsid w:val="00F43641"/>
    <w:pPr>
      <w:tabs>
        <w:tab w:val="center" w:pos="4819"/>
        <w:tab w:val="right" w:pos="9639"/>
      </w:tabs>
      <w:spacing w:after="0" w:line="240" w:lineRule="auto"/>
    </w:pPr>
    <w:rPr>
      <w:rFonts w:cs="Mangal"/>
      <w:szCs w:val="25"/>
    </w:rPr>
  </w:style>
  <w:style w:type="character" w:customStyle="1" w:styleId="a9">
    <w:name w:val="Нижній колонтитул Знак"/>
    <w:basedOn w:val="a0"/>
    <w:link w:val="a8"/>
    <w:uiPriority w:val="99"/>
    <w:rsid w:val="00F43641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a">
    <w:name w:val="Balloon Text"/>
    <w:basedOn w:val="a"/>
    <w:link w:val="ab"/>
    <w:uiPriority w:val="99"/>
    <w:semiHidden/>
    <w:unhideWhenUsed/>
    <w:rsid w:val="00F4364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3641"/>
    <w:rPr>
      <w:rFonts w:ascii="Segoe UI" w:eastAsia="Times New Roman" w:hAnsi="Segoe UI" w:cs="Mangal"/>
      <w:kern w:val="2"/>
      <w:sz w:val="18"/>
      <w:szCs w:val="16"/>
      <w:lang w:eastAsia="uk-UA" w:bidi="hi-IN"/>
    </w:rPr>
  </w:style>
  <w:style w:type="table" w:customStyle="1" w:styleId="1">
    <w:name w:val="Сітка таблиці1"/>
    <w:basedOn w:val="a1"/>
    <w:next w:val="ac"/>
    <w:uiPriority w:val="59"/>
    <w:rsid w:val="000C10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C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81DE4"/>
    <w:pPr>
      <w:spacing w:after="0" w:line="240" w:lineRule="auto"/>
    </w:pPr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37A2-BC0C-4C3E-887E-D4A5A7D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Гужвій</dc:creator>
  <cp:keywords/>
  <dc:description/>
  <cp:lastModifiedBy>Наталія Гужвій</cp:lastModifiedBy>
  <cp:revision>6</cp:revision>
  <dcterms:created xsi:type="dcterms:W3CDTF">2022-03-17T15:20:00Z</dcterms:created>
  <dcterms:modified xsi:type="dcterms:W3CDTF">2022-03-21T13:13:00Z</dcterms:modified>
</cp:coreProperties>
</file>