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593" w:rsidRPr="00566BA2" w:rsidRDefault="00657593" w:rsidP="00657593">
      <w:pPr>
        <w:rPr>
          <w:sz w:val="2"/>
          <w:szCs w:val="2"/>
          <w:lang w:val="en-US"/>
        </w:rPr>
      </w:pPr>
    </w:p>
    <w:p w:rsidR="007F22B4" w:rsidRPr="00ED65EF" w:rsidRDefault="007F22B4" w:rsidP="007F22B4">
      <w:pPr>
        <w:ind w:left="5954"/>
        <w:jc w:val="left"/>
        <w:rPr>
          <w:rFonts w:eastAsiaTheme="minorEastAsia"/>
          <w:color w:val="000000" w:themeColor="text1"/>
          <w:sz w:val="4"/>
          <w:szCs w:val="4"/>
          <w:lang w:eastAsia="en-US"/>
        </w:rPr>
      </w:pPr>
    </w:p>
    <w:tbl>
      <w:tblPr>
        <w:tblStyle w:val="a9"/>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1"/>
        <w:gridCol w:w="2479"/>
        <w:gridCol w:w="3968"/>
        <w:gridCol w:w="143"/>
      </w:tblGrid>
      <w:tr w:rsidR="00ED65EF" w:rsidTr="00414B66">
        <w:trPr>
          <w:trHeight w:val="851"/>
        </w:trPr>
        <w:tc>
          <w:tcPr>
            <w:tcW w:w="3191" w:type="dxa"/>
          </w:tcPr>
          <w:p w:rsidR="00ED65EF" w:rsidRDefault="00ED65EF" w:rsidP="00F814FB"/>
        </w:tc>
        <w:tc>
          <w:tcPr>
            <w:tcW w:w="2479" w:type="dxa"/>
            <w:vMerge w:val="restart"/>
          </w:tcPr>
          <w:p w:rsidR="00ED65EF" w:rsidRDefault="00414B66" w:rsidP="00F814FB">
            <w:pPr>
              <w:jc w:val="center"/>
            </w:pPr>
            <w:r>
              <w:t xml:space="preserve">          </w:t>
            </w:r>
            <w:r w:rsidR="00ED65EF">
              <w:object w:dxaOrig="1595" w:dyaOrig="2201" w14:anchorId="738187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pt;height:49.2pt" o:ole="">
                  <v:imagedata r:id="rId12" o:title=""/>
                </v:shape>
                <o:OLEObject Type="Embed" ProgID="CorelDraw.Graphic.16" ShapeID="_x0000_i1025" DrawAspect="Content" ObjectID="_1773119661" r:id="rId13"/>
              </w:object>
            </w:r>
          </w:p>
        </w:tc>
        <w:tc>
          <w:tcPr>
            <w:tcW w:w="4111" w:type="dxa"/>
            <w:gridSpan w:val="2"/>
          </w:tcPr>
          <w:p w:rsidR="00414B66" w:rsidRPr="00414B66" w:rsidRDefault="00414B66" w:rsidP="00414B66">
            <w:pPr>
              <w:jc w:val="left"/>
              <w:rPr>
                <w:sz w:val="26"/>
                <w:szCs w:val="26"/>
              </w:rPr>
            </w:pPr>
            <w:r w:rsidRPr="00414B66">
              <w:rPr>
                <w:sz w:val="26"/>
                <w:szCs w:val="26"/>
              </w:rPr>
              <w:t xml:space="preserve">Офіційно опубліковано </w:t>
            </w:r>
            <w:r>
              <w:rPr>
                <w:sz w:val="26"/>
                <w:szCs w:val="26"/>
              </w:rPr>
              <w:t>28.03.2024</w:t>
            </w:r>
          </w:p>
          <w:p w:rsidR="00ED65EF" w:rsidRPr="00A144D2" w:rsidRDefault="002A2EE5" w:rsidP="00F814FB">
            <w:r>
              <w:t xml:space="preserve">                          </w:t>
            </w:r>
          </w:p>
        </w:tc>
      </w:tr>
      <w:tr w:rsidR="00ED65EF" w:rsidTr="00414B66">
        <w:trPr>
          <w:gridAfter w:val="1"/>
          <w:wAfter w:w="143" w:type="dxa"/>
        </w:trPr>
        <w:tc>
          <w:tcPr>
            <w:tcW w:w="3191" w:type="dxa"/>
          </w:tcPr>
          <w:p w:rsidR="00ED65EF" w:rsidRDefault="00ED65EF" w:rsidP="00F814FB"/>
        </w:tc>
        <w:tc>
          <w:tcPr>
            <w:tcW w:w="2479" w:type="dxa"/>
            <w:vMerge/>
          </w:tcPr>
          <w:p w:rsidR="00ED65EF" w:rsidRDefault="00ED65EF" w:rsidP="00F814FB"/>
        </w:tc>
        <w:tc>
          <w:tcPr>
            <w:tcW w:w="3968" w:type="dxa"/>
          </w:tcPr>
          <w:p w:rsidR="00ED65EF" w:rsidRDefault="00ED65EF" w:rsidP="00F814FB"/>
        </w:tc>
      </w:tr>
      <w:tr w:rsidR="00ED65EF" w:rsidTr="00414B66">
        <w:trPr>
          <w:gridAfter w:val="1"/>
          <w:wAfter w:w="143" w:type="dxa"/>
        </w:trPr>
        <w:tc>
          <w:tcPr>
            <w:tcW w:w="9638" w:type="dxa"/>
            <w:gridSpan w:val="3"/>
          </w:tcPr>
          <w:p w:rsidR="00ED65EF" w:rsidRPr="00E10F0A" w:rsidRDefault="00ED65EF" w:rsidP="00F814FB">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rsidR="00ED65EF" w:rsidRDefault="00ED65EF" w:rsidP="00F814FB">
            <w:pPr>
              <w:jc w:val="center"/>
            </w:pPr>
            <w:r w:rsidRPr="00E10F0A">
              <w:rPr>
                <w:b/>
                <w:bCs/>
                <w:color w:val="006600"/>
                <w:sz w:val="32"/>
                <w:szCs w:val="32"/>
              </w:rPr>
              <w:t>П О С Т А Н О В А</w:t>
            </w:r>
          </w:p>
        </w:tc>
      </w:tr>
    </w:tbl>
    <w:p w:rsidR="00ED65EF" w:rsidRPr="00ED65EF" w:rsidRDefault="00ED65EF" w:rsidP="007F22B4">
      <w:pPr>
        <w:ind w:left="5954"/>
        <w:jc w:val="left"/>
        <w:rPr>
          <w:rFonts w:eastAsiaTheme="minorEastAsia"/>
          <w:color w:val="000000" w:themeColor="text1"/>
          <w:sz w:val="4"/>
          <w:szCs w:val="4"/>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gridCol w:w="2643"/>
        <w:gridCol w:w="2581"/>
        <w:gridCol w:w="991"/>
      </w:tblGrid>
      <w:tr w:rsidR="00657593" w:rsidTr="00414B66">
        <w:tc>
          <w:tcPr>
            <w:tcW w:w="3423" w:type="dxa"/>
            <w:vAlign w:val="bottom"/>
          </w:tcPr>
          <w:p w:rsidR="00657593" w:rsidRPr="00566BA2" w:rsidRDefault="008F55A4" w:rsidP="00E054A9">
            <w:r>
              <w:t>2</w:t>
            </w:r>
            <w:r>
              <w:rPr>
                <w:lang w:val="en-US"/>
              </w:rPr>
              <w:t>7</w:t>
            </w:r>
            <w:r w:rsidR="00414B66">
              <w:t xml:space="preserve"> березня 2024</w:t>
            </w:r>
            <w:r w:rsidR="00414B66" w:rsidRPr="00BD7C79">
              <w:t xml:space="preserve"> року</w:t>
            </w:r>
          </w:p>
        </w:tc>
        <w:tc>
          <w:tcPr>
            <w:tcW w:w="2643" w:type="dxa"/>
          </w:tcPr>
          <w:p w:rsidR="00657593" w:rsidRDefault="00DB4F3D" w:rsidP="00E62607">
            <w:pPr>
              <w:spacing w:before="240"/>
              <w:jc w:val="center"/>
            </w:pPr>
            <w:r w:rsidRPr="002267DD">
              <w:rPr>
                <w:color w:val="006600"/>
                <w:lang w:val="ru-RU"/>
              </w:rPr>
              <w:t xml:space="preserve"> </w:t>
            </w:r>
            <w:r w:rsidR="00657593" w:rsidRPr="00E10F0A">
              <w:rPr>
                <w:color w:val="006600"/>
              </w:rPr>
              <w:t>Київ</w:t>
            </w:r>
          </w:p>
        </w:tc>
        <w:tc>
          <w:tcPr>
            <w:tcW w:w="2581" w:type="dxa"/>
            <w:vAlign w:val="bottom"/>
          </w:tcPr>
          <w:p w:rsidR="00657593" w:rsidRPr="008F55A4" w:rsidRDefault="00657593" w:rsidP="00E62607">
            <w:pPr>
              <w:jc w:val="right"/>
              <w:rPr>
                <w:lang w:val="en-US"/>
              </w:rPr>
            </w:pPr>
            <w:r w:rsidRPr="005C32C4">
              <w:rPr>
                <w:color w:val="FFFFFF" w:themeColor="background1"/>
              </w:rPr>
              <w:t>№</w:t>
            </w:r>
            <w:r w:rsidR="00414B66">
              <w:rPr>
                <w:color w:val="FFFFFF" w:themeColor="background1"/>
              </w:rPr>
              <w:t xml:space="preserve">       </w:t>
            </w:r>
            <w:r w:rsidR="00414B66">
              <w:t xml:space="preserve">№ </w:t>
            </w:r>
            <w:r w:rsidR="008F55A4">
              <w:rPr>
                <w:lang w:val="en-US"/>
              </w:rPr>
              <w:t>36</w:t>
            </w:r>
          </w:p>
        </w:tc>
        <w:tc>
          <w:tcPr>
            <w:tcW w:w="991" w:type="dxa"/>
            <w:vAlign w:val="bottom"/>
          </w:tcPr>
          <w:p w:rsidR="00657593" w:rsidRDefault="00657593" w:rsidP="00290169">
            <w:pPr>
              <w:jc w:val="left"/>
            </w:pPr>
          </w:p>
        </w:tc>
      </w:tr>
    </w:tbl>
    <w:p w:rsidR="00657593" w:rsidRPr="00CD0CD4" w:rsidRDefault="00657593" w:rsidP="00657593">
      <w:pPr>
        <w:rPr>
          <w:sz w:val="2"/>
          <w:szCs w:val="2"/>
        </w:rPr>
      </w:pPr>
    </w:p>
    <w:p w:rsidR="00E42621" w:rsidRDefault="00E42621" w:rsidP="00562C46">
      <w:pPr>
        <w:ind w:firstLine="709"/>
        <w:jc w:val="center"/>
        <w:rPr>
          <w:rFonts w:eastAsiaTheme="minorEastAsia"/>
          <w:color w:val="000000" w:themeColor="text1"/>
          <w:lang w:eastAsia="en-US"/>
        </w:rPr>
      </w:pPr>
    </w:p>
    <w:p w:rsidR="00FA2B53" w:rsidRDefault="00FA2B53" w:rsidP="00FA2B53">
      <w:pPr>
        <w:ind w:firstLine="709"/>
        <w:jc w:val="center"/>
        <w:rPr>
          <w:rFonts w:eastAsiaTheme="minorEastAsia"/>
          <w:color w:val="000000" w:themeColor="text1"/>
          <w:lang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2B3F71" w:rsidRPr="00CD0CD4" w:rsidTr="005212C5">
        <w:trPr>
          <w:jc w:val="center"/>
        </w:trPr>
        <w:tc>
          <w:tcPr>
            <w:tcW w:w="5000" w:type="pct"/>
          </w:tcPr>
          <w:p w:rsidR="002B3F71" w:rsidRPr="00CD0CD4" w:rsidRDefault="002A2EE5" w:rsidP="00FA2B53">
            <w:pPr>
              <w:tabs>
                <w:tab w:val="left" w:pos="840"/>
                <w:tab w:val="center" w:pos="3293"/>
              </w:tabs>
              <w:jc w:val="center"/>
              <w:rPr>
                <w:rFonts w:eastAsiaTheme="minorEastAsia"/>
                <w:color w:val="000000" w:themeColor="text1"/>
                <w:lang w:eastAsia="en-US"/>
              </w:rPr>
            </w:pPr>
            <w:r>
              <w:rPr>
                <w:color w:val="000000"/>
              </w:rPr>
              <w:t xml:space="preserve">Про </w:t>
            </w:r>
            <w:r w:rsidR="0084655B" w:rsidRPr="00854884">
              <w:rPr>
                <w:color w:val="000000"/>
              </w:rPr>
              <w:t>внесення</w:t>
            </w:r>
            <w:r w:rsidR="00FB25A9" w:rsidRPr="00854884">
              <w:rPr>
                <w:color w:val="000000"/>
              </w:rPr>
              <w:t xml:space="preserve"> з</w:t>
            </w:r>
            <w:r w:rsidR="00124452" w:rsidRPr="00854884">
              <w:rPr>
                <w:color w:val="000000"/>
              </w:rPr>
              <w:t>мін</w:t>
            </w:r>
            <w:r w:rsidR="00124452">
              <w:rPr>
                <w:color w:val="000000"/>
              </w:rPr>
              <w:t xml:space="preserve"> до деяких нормативно-правових актів Національного банку України</w:t>
            </w:r>
          </w:p>
        </w:tc>
      </w:tr>
    </w:tbl>
    <w:p w:rsidR="00E53CCD" w:rsidRDefault="00A144D2" w:rsidP="006E4A79">
      <w:pPr>
        <w:spacing w:before="240" w:after="240"/>
        <w:ind w:firstLine="567"/>
        <w:rPr>
          <w:b/>
        </w:rPr>
      </w:pPr>
      <w:r w:rsidRPr="000F4781">
        <w:rPr>
          <w:noProof/>
        </w:rPr>
        <mc:AlternateContent>
          <mc:Choice Requires="wps">
            <w:drawing>
              <wp:anchor distT="0" distB="0" distL="114300" distR="114300" simplePos="0" relativeHeight="251659264" behindDoc="1" locked="0" layoutInCell="0" allowOverlap="1" wp14:anchorId="4B4A1C92" wp14:editId="7536E108">
                <wp:simplePos x="0" y="0"/>
                <wp:positionH relativeFrom="page">
                  <wp:posOffset>1905254</wp:posOffset>
                </wp:positionH>
                <wp:positionV relativeFrom="paragraph">
                  <wp:posOffset>204358</wp:posOffset>
                </wp:positionV>
                <wp:extent cx="1904111" cy="209091"/>
                <wp:effectExtent l="0" t="0" r="0" b="0"/>
                <wp:wrapNone/>
                <wp:docPr id="3" name="drawingObject3"/>
                <wp:cNvGraphicFramePr/>
                <a:graphic xmlns:a="http://schemas.openxmlformats.org/drawingml/2006/main">
                  <a:graphicData uri="http://schemas.microsoft.com/office/word/2010/wordprocessingShape">
                    <wps:wsp>
                      <wps:cNvSpPr/>
                      <wps:spPr>
                        <a:xfrm>
                          <a:off x="0" y="0"/>
                          <a:ext cx="1904111" cy="209091"/>
                        </a:xfrm>
                        <a:custGeom>
                          <a:avLst/>
                          <a:gdLst/>
                          <a:ahLst/>
                          <a:cxnLst/>
                          <a:rect l="0" t="0" r="0" b="0"/>
                          <a:pathLst>
                            <a:path w="1904111" h="209091">
                              <a:moveTo>
                                <a:pt x="0" y="0"/>
                              </a:moveTo>
                              <a:lnTo>
                                <a:pt x="0" y="209091"/>
                              </a:lnTo>
                              <a:lnTo>
                                <a:pt x="1904111" y="209091"/>
                              </a:lnTo>
                              <a:lnTo>
                                <a:pt x="1904111"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7B8F0243" id="drawingObject3" o:spid="_x0000_s1026" style="position:absolute;margin-left:150pt;margin-top:16.1pt;width:149.95pt;height:16.45pt;z-index:-251657216;visibility:visible;mso-wrap-style:square;mso-wrap-distance-left:9pt;mso-wrap-distance-top:0;mso-wrap-distance-right:9pt;mso-wrap-distance-bottom:0;mso-position-horizontal:absolute;mso-position-horizontal-relative:page;mso-position-vertical:absolute;mso-position-vertical-relative:text;v-text-anchor:top" coordsize="1904111,20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" o:allowincell="f" path="m,l,209091r1904111,l1904111,,,xe" stroked="f">
                <v:path arrowok="t" textboxrect="0,0,1904111,209091"/>
                <w10:wrap anchorx="page"/>
              </v:shape>
            </w:pict>
          </mc:Fallback>
        </mc:AlternateContent>
      </w:r>
      <w:r w:rsidRPr="000F4781">
        <w:rPr>
          <w:color w:val="000000"/>
        </w:rPr>
        <w:t>В</w:t>
      </w:r>
      <w:r w:rsidRPr="000F4781">
        <w:rPr>
          <w:color w:val="000000"/>
          <w:spacing w:val="1"/>
        </w:rPr>
        <w:t>і</w:t>
      </w:r>
      <w:r w:rsidRPr="000F4781">
        <w:rPr>
          <w:color w:val="000000"/>
        </w:rPr>
        <w:t>дпов</w:t>
      </w:r>
      <w:r w:rsidRPr="000F4781">
        <w:rPr>
          <w:color w:val="000000"/>
          <w:spacing w:val="-1"/>
        </w:rPr>
        <w:t>і</w:t>
      </w:r>
      <w:r w:rsidRPr="000F4781">
        <w:rPr>
          <w:color w:val="000000"/>
        </w:rPr>
        <w:t>дно</w:t>
      </w:r>
      <w:r w:rsidRPr="000F4781">
        <w:rPr>
          <w:color w:val="000000"/>
          <w:spacing w:val="48"/>
        </w:rPr>
        <w:t xml:space="preserve"> </w:t>
      </w:r>
      <w:r w:rsidRPr="000F4781">
        <w:rPr>
          <w:color w:val="000000"/>
        </w:rPr>
        <w:t>до</w:t>
      </w:r>
      <w:r w:rsidRPr="000F4781">
        <w:rPr>
          <w:color w:val="000000"/>
          <w:spacing w:val="48"/>
        </w:rPr>
        <w:t xml:space="preserve"> </w:t>
      </w:r>
      <w:r w:rsidRPr="000F4781">
        <w:rPr>
          <w:color w:val="000000"/>
        </w:rPr>
        <w:t>статей</w:t>
      </w:r>
      <w:r w:rsidRPr="000F4781">
        <w:rPr>
          <w:color w:val="000000"/>
          <w:spacing w:val="47"/>
        </w:rPr>
        <w:t xml:space="preserve"> </w:t>
      </w:r>
      <w:r w:rsidRPr="000F4781">
        <w:rPr>
          <w:color w:val="000000"/>
          <w:spacing w:val="1"/>
        </w:rPr>
        <w:t>7,</w:t>
      </w:r>
      <w:r w:rsidRPr="000F4781">
        <w:rPr>
          <w:color w:val="000000"/>
          <w:spacing w:val="46"/>
        </w:rPr>
        <w:t xml:space="preserve"> </w:t>
      </w:r>
      <w:r w:rsidRPr="000F4781">
        <w:rPr>
          <w:color w:val="000000"/>
          <w:spacing w:val="1"/>
        </w:rPr>
        <w:t>15</w:t>
      </w:r>
      <w:r w:rsidRPr="000F4781">
        <w:rPr>
          <w:color w:val="000000"/>
        </w:rPr>
        <w:t>, 40,</w:t>
      </w:r>
      <w:r w:rsidRPr="000F4781">
        <w:rPr>
          <w:color w:val="000000"/>
          <w:spacing w:val="47"/>
        </w:rPr>
        <w:t xml:space="preserve"> </w:t>
      </w:r>
      <w:r w:rsidRPr="000F4781">
        <w:rPr>
          <w:color w:val="000000"/>
        </w:rPr>
        <w:t>56</w:t>
      </w:r>
      <w:r w:rsidRPr="000F4781">
        <w:rPr>
          <w:color w:val="000000"/>
          <w:spacing w:val="48"/>
        </w:rPr>
        <w:t xml:space="preserve"> </w:t>
      </w:r>
      <w:r w:rsidRPr="000F4781">
        <w:rPr>
          <w:color w:val="000000"/>
        </w:rPr>
        <w:t>За</w:t>
      </w:r>
      <w:r w:rsidRPr="000F4781">
        <w:rPr>
          <w:color w:val="000000"/>
          <w:spacing w:val="-1"/>
        </w:rPr>
        <w:t>к</w:t>
      </w:r>
      <w:r w:rsidRPr="000F4781">
        <w:rPr>
          <w:color w:val="000000"/>
        </w:rPr>
        <w:t>он</w:t>
      </w:r>
      <w:r w:rsidRPr="000F4781">
        <w:rPr>
          <w:color w:val="000000"/>
          <w:spacing w:val="1"/>
        </w:rPr>
        <w:t>у</w:t>
      </w:r>
      <w:r w:rsidRPr="000F4781">
        <w:rPr>
          <w:color w:val="000000"/>
          <w:spacing w:val="44"/>
        </w:rPr>
        <w:t xml:space="preserve"> </w:t>
      </w:r>
      <w:r w:rsidRPr="000F4781">
        <w:rPr>
          <w:color w:val="000000"/>
        </w:rPr>
        <w:t>Ук</w:t>
      </w:r>
      <w:r w:rsidRPr="000F4781">
        <w:rPr>
          <w:color w:val="000000"/>
          <w:spacing w:val="1"/>
        </w:rPr>
        <w:t>р</w:t>
      </w:r>
      <w:r w:rsidRPr="000F4781">
        <w:rPr>
          <w:color w:val="000000"/>
        </w:rPr>
        <w:t>аї</w:t>
      </w:r>
      <w:r w:rsidRPr="000F4781">
        <w:rPr>
          <w:color w:val="000000"/>
          <w:spacing w:val="-1"/>
        </w:rPr>
        <w:t>н</w:t>
      </w:r>
      <w:r w:rsidRPr="000F4781">
        <w:rPr>
          <w:color w:val="000000"/>
        </w:rPr>
        <w:t>и</w:t>
      </w:r>
      <w:r w:rsidRPr="000F4781">
        <w:rPr>
          <w:color w:val="000000"/>
          <w:spacing w:val="50"/>
        </w:rPr>
        <w:t xml:space="preserve"> </w:t>
      </w:r>
      <w:r w:rsidRPr="000F4781">
        <w:rPr>
          <w:color w:val="000000"/>
          <w:spacing w:val="-3"/>
        </w:rPr>
        <w:t>“</w:t>
      </w:r>
      <w:r w:rsidRPr="000F4781">
        <w:rPr>
          <w:color w:val="000000"/>
          <w:spacing w:val="-1"/>
        </w:rPr>
        <w:t>П</w:t>
      </w:r>
      <w:r w:rsidRPr="000F4781">
        <w:rPr>
          <w:color w:val="000000"/>
        </w:rPr>
        <w:t>ро</w:t>
      </w:r>
      <w:r w:rsidRPr="000F4781">
        <w:rPr>
          <w:color w:val="000000"/>
          <w:spacing w:val="48"/>
        </w:rPr>
        <w:t xml:space="preserve"> </w:t>
      </w:r>
      <w:r w:rsidRPr="000F4781">
        <w:rPr>
          <w:color w:val="000000"/>
        </w:rPr>
        <w:t>Нац</w:t>
      </w:r>
      <w:r w:rsidRPr="000F4781">
        <w:rPr>
          <w:color w:val="000000"/>
          <w:spacing w:val="1"/>
        </w:rPr>
        <w:t>і</w:t>
      </w:r>
      <w:r w:rsidRPr="000F4781">
        <w:rPr>
          <w:color w:val="000000"/>
        </w:rPr>
        <w:t>ональний</w:t>
      </w:r>
      <w:r w:rsidRPr="000F4781">
        <w:rPr>
          <w:color w:val="000000"/>
          <w:spacing w:val="48"/>
        </w:rPr>
        <w:t xml:space="preserve"> </w:t>
      </w:r>
      <w:r w:rsidRPr="000F4781">
        <w:rPr>
          <w:color w:val="000000"/>
          <w:spacing w:val="1"/>
        </w:rPr>
        <w:t>б</w:t>
      </w:r>
      <w:r w:rsidRPr="000F4781">
        <w:rPr>
          <w:color w:val="000000"/>
          <w:spacing w:val="-1"/>
        </w:rPr>
        <w:t>а</w:t>
      </w:r>
      <w:r w:rsidRPr="000F4781">
        <w:rPr>
          <w:color w:val="000000"/>
          <w:spacing w:val="-2"/>
        </w:rPr>
        <w:t>н</w:t>
      </w:r>
      <w:r w:rsidRPr="000F4781">
        <w:rPr>
          <w:color w:val="000000"/>
        </w:rPr>
        <w:t>к Україн</w:t>
      </w:r>
      <w:r w:rsidRPr="000F4781">
        <w:rPr>
          <w:color w:val="000000"/>
          <w:spacing w:val="-1"/>
        </w:rPr>
        <w:t>и</w:t>
      </w:r>
      <w:r w:rsidRPr="000F4781">
        <w:rPr>
          <w:color w:val="000000"/>
        </w:rPr>
        <w:t>”</w:t>
      </w:r>
      <w:r>
        <w:rPr>
          <w:color w:val="000000"/>
        </w:rPr>
        <w:t xml:space="preserve">, </w:t>
      </w:r>
      <w:r w:rsidRPr="00BD7C79">
        <w:t xml:space="preserve">статті 72 </w:t>
      </w:r>
      <w:r w:rsidRPr="00BD7C79">
        <w:rPr>
          <w:rFonts w:eastAsiaTheme="minorEastAsia"/>
          <w:color w:val="000000" w:themeColor="text1"/>
        </w:rPr>
        <w:t xml:space="preserve">Закону України “Про платіжні послуги” </w:t>
      </w:r>
      <w:r w:rsidRPr="000F4781">
        <w:rPr>
          <w:color w:val="000000"/>
        </w:rPr>
        <w:t xml:space="preserve"> та з мет</w:t>
      </w:r>
      <w:r w:rsidRPr="000F4781">
        <w:rPr>
          <w:color w:val="000000"/>
          <w:spacing w:val="1"/>
        </w:rPr>
        <w:t>о</w:t>
      </w:r>
      <w:r w:rsidRPr="000F4781">
        <w:rPr>
          <w:color w:val="000000"/>
        </w:rPr>
        <w:t>ю</w:t>
      </w:r>
      <w:r w:rsidRPr="000F4781">
        <w:rPr>
          <w:color w:val="000000"/>
          <w:spacing w:val="60"/>
        </w:rPr>
        <w:t xml:space="preserve"> </w:t>
      </w:r>
      <w:r w:rsidRPr="000F4781">
        <w:rPr>
          <w:color w:val="000000"/>
        </w:rPr>
        <w:t>вдосконалення</w:t>
      </w:r>
      <w:r w:rsidRPr="000F4781">
        <w:rPr>
          <w:color w:val="000000"/>
          <w:spacing w:val="60"/>
        </w:rPr>
        <w:t xml:space="preserve"> </w:t>
      </w:r>
      <w:r w:rsidRPr="000F4781">
        <w:rPr>
          <w:color w:val="000000"/>
        </w:rPr>
        <w:t>норма</w:t>
      </w:r>
      <w:r w:rsidRPr="000F4781">
        <w:rPr>
          <w:color w:val="000000"/>
          <w:spacing w:val="-1"/>
        </w:rPr>
        <w:t>т</w:t>
      </w:r>
      <w:r w:rsidRPr="000F4781">
        <w:rPr>
          <w:color w:val="000000"/>
        </w:rPr>
        <w:t>ив</w:t>
      </w:r>
      <w:r w:rsidRPr="000F4781">
        <w:rPr>
          <w:color w:val="000000"/>
          <w:spacing w:val="-1"/>
        </w:rPr>
        <w:t>н</w:t>
      </w:r>
      <w:r w:rsidRPr="000F4781">
        <w:rPr>
          <w:color w:val="000000"/>
          <w:spacing w:val="3"/>
        </w:rPr>
        <w:t>о</w:t>
      </w:r>
      <w:r w:rsidRPr="000F4781">
        <w:rPr>
          <w:color w:val="000000"/>
        </w:rPr>
        <w:t>-право</w:t>
      </w:r>
      <w:r w:rsidRPr="000F4781">
        <w:rPr>
          <w:color w:val="000000"/>
          <w:spacing w:val="-1"/>
        </w:rPr>
        <w:t>в</w:t>
      </w:r>
      <w:r w:rsidRPr="000F4781">
        <w:rPr>
          <w:color w:val="000000"/>
        </w:rPr>
        <w:t>ого</w:t>
      </w:r>
      <w:r w:rsidRPr="000F4781">
        <w:rPr>
          <w:color w:val="000000"/>
          <w:spacing w:val="63"/>
        </w:rPr>
        <w:t xml:space="preserve"> </w:t>
      </w:r>
      <w:proofErr w:type="spellStart"/>
      <w:r w:rsidRPr="000F4781">
        <w:rPr>
          <w:color w:val="000000"/>
          <w:spacing w:val="-2"/>
        </w:rPr>
        <w:t>а</w:t>
      </w:r>
      <w:r w:rsidRPr="000F4781">
        <w:rPr>
          <w:color w:val="000000"/>
        </w:rPr>
        <w:t>кт</w:t>
      </w:r>
      <w:r w:rsidRPr="000F4781">
        <w:rPr>
          <w:color w:val="000000"/>
          <w:spacing w:val="1"/>
        </w:rPr>
        <w:t>а</w:t>
      </w:r>
      <w:proofErr w:type="spellEnd"/>
      <w:r w:rsidRPr="000F4781">
        <w:rPr>
          <w:color w:val="000000"/>
          <w:spacing w:val="1"/>
        </w:rPr>
        <w:t xml:space="preserve"> з питань </w:t>
      </w:r>
      <w:r w:rsidRPr="000F4781">
        <w:rPr>
          <w:rFonts w:eastAsiaTheme="minorHAnsi"/>
          <w:lang w:eastAsia="en-US"/>
        </w:rPr>
        <w:t>виконання міжбанківських платіжних операцій</w:t>
      </w:r>
      <w:r>
        <w:rPr>
          <w:rFonts w:eastAsiaTheme="minorHAnsi"/>
          <w:lang w:eastAsia="en-US"/>
        </w:rPr>
        <w:t xml:space="preserve"> </w:t>
      </w:r>
      <w:r w:rsidRPr="000F4781">
        <w:rPr>
          <w:rFonts w:eastAsiaTheme="minorHAnsi"/>
          <w:lang w:eastAsia="en-US"/>
        </w:rPr>
        <w:t>в Україні</w:t>
      </w:r>
      <w:r>
        <w:rPr>
          <w:b/>
          <w:bCs/>
          <w:color w:val="000000"/>
        </w:rPr>
        <w:t xml:space="preserve"> </w:t>
      </w:r>
      <w:r w:rsidR="00115ECF" w:rsidRPr="00CD0CD4">
        <w:t xml:space="preserve">Правління Національного банку </w:t>
      </w:r>
      <w:r w:rsidR="00562C46" w:rsidRPr="00CD0CD4">
        <w:t>України</w:t>
      </w:r>
      <w:r w:rsidR="00562C46" w:rsidRPr="00CD0CD4">
        <w:rPr>
          <w:b/>
        </w:rPr>
        <w:t xml:space="preserve"> </w:t>
      </w:r>
      <w:r w:rsidR="00FA508E" w:rsidRPr="00CD0CD4">
        <w:rPr>
          <w:b/>
        </w:rPr>
        <w:t>постановляє:</w:t>
      </w:r>
    </w:p>
    <w:p w:rsidR="00D62377" w:rsidRPr="00812ED0" w:rsidRDefault="00D62377" w:rsidP="00812ED0">
      <w:pPr>
        <w:spacing w:before="240" w:after="240"/>
        <w:ind w:firstLine="567"/>
      </w:pPr>
      <w:r w:rsidRPr="00D62377">
        <w:t xml:space="preserve">1. </w:t>
      </w:r>
      <w:r w:rsidR="00812ED0">
        <w:t xml:space="preserve">У пункті 4 </w:t>
      </w:r>
      <w:r>
        <w:t>постанови Правління Національного банку України від 03 бер</w:t>
      </w:r>
      <w:r w:rsidR="002A2EE5">
        <w:t xml:space="preserve">езня 2023 року </w:t>
      </w:r>
      <w:r w:rsidR="002A2EE5" w:rsidRPr="00852665">
        <w:t>№ 16</w:t>
      </w:r>
      <w:r>
        <w:t xml:space="preserve"> </w:t>
      </w:r>
      <w:r w:rsidRPr="00D62377">
        <w:t>“</w:t>
      </w:r>
      <w:r w:rsidRPr="00BD7C79">
        <w:rPr>
          <w:rFonts w:eastAsiaTheme="minorEastAsia"/>
          <w:lang w:eastAsia="en-US"/>
        </w:rPr>
        <w:t>Про затвердження Інструкції про виконання міжбанківських платіжних операцій в Україні в національній валюті</w:t>
      </w:r>
      <w:r w:rsidRPr="00D62377">
        <w:t>”</w:t>
      </w:r>
      <w:r w:rsidR="00A322C6">
        <w:t xml:space="preserve"> слово і цифри</w:t>
      </w:r>
      <w:r w:rsidR="00812ED0">
        <w:t xml:space="preserve"> </w:t>
      </w:r>
      <w:r w:rsidR="00812ED0" w:rsidRPr="00812ED0">
        <w:t>“</w:t>
      </w:r>
      <w:r w:rsidR="00812ED0">
        <w:t>квітня 2024</w:t>
      </w:r>
      <w:r w:rsidR="00812ED0" w:rsidRPr="00812ED0">
        <w:t>”</w:t>
      </w:r>
      <w:r w:rsidR="00A322C6">
        <w:t xml:space="preserve"> замінити словом і цифрами</w:t>
      </w:r>
      <w:r w:rsidR="00812ED0">
        <w:t xml:space="preserve"> </w:t>
      </w:r>
      <w:r w:rsidR="00812ED0" w:rsidRPr="00812ED0">
        <w:t>“</w:t>
      </w:r>
      <w:r w:rsidR="00812ED0">
        <w:t>січня 2025</w:t>
      </w:r>
      <w:r w:rsidR="00812ED0" w:rsidRPr="00812ED0">
        <w:t>”</w:t>
      </w:r>
      <w:r w:rsidR="00812ED0">
        <w:t>.</w:t>
      </w:r>
    </w:p>
    <w:p w:rsidR="005337BE" w:rsidRPr="002A2EE5" w:rsidRDefault="00812ED0" w:rsidP="002A2EE5">
      <w:pPr>
        <w:widowControl w:val="0"/>
        <w:ind w:left="3" w:right="-14" w:firstLine="566"/>
        <w:rPr>
          <w:bCs/>
          <w:color w:val="000000"/>
        </w:rPr>
      </w:pPr>
      <w:r>
        <w:t>2</w:t>
      </w:r>
      <w:r w:rsidR="00AD7DF9" w:rsidRPr="00852665">
        <w:t>.</w:t>
      </w:r>
      <w:r w:rsidR="00AD7DF9" w:rsidRPr="00852665">
        <w:rPr>
          <w:lang w:val="en-US"/>
        </w:rPr>
        <w:t> </w:t>
      </w:r>
      <w:r w:rsidR="00681090">
        <w:t>Затвердити З</w:t>
      </w:r>
      <w:r w:rsidR="002A2EE5" w:rsidRPr="00852665">
        <w:t>міни до Інструкції про виконання міжбанківських платіжних операцій в Україні в національній валюті, затвердженої постановою Правління Національного банку України від 03 березня 2023 року № 16 (зі змін</w:t>
      </w:r>
      <w:r w:rsidR="00F91D8D" w:rsidRPr="00852665">
        <w:t>ами)</w:t>
      </w:r>
      <w:r w:rsidR="002A2EE5" w:rsidRPr="00852665">
        <w:t>, що додаються.</w:t>
      </w:r>
      <w:r w:rsidR="002A2EE5">
        <w:rPr>
          <w:bCs/>
          <w:color w:val="000000"/>
        </w:rPr>
        <w:t xml:space="preserve"> </w:t>
      </w:r>
    </w:p>
    <w:p w:rsidR="00AD7DF9" w:rsidRDefault="001230AA" w:rsidP="006E4A79">
      <w:pPr>
        <w:spacing w:before="240" w:after="240"/>
        <w:ind w:firstLine="567"/>
        <w:rPr>
          <w:rFonts w:eastAsiaTheme="minorEastAsia"/>
          <w:noProof/>
          <w:color w:val="000000" w:themeColor="text1"/>
          <w:lang w:eastAsia="en-US"/>
        </w:rPr>
      </w:pPr>
      <w:r>
        <w:rPr>
          <w:rFonts w:eastAsiaTheme="minorEastAsia"/>
          <w:noProof/>
          <w:color w:val="000000" w:themeColor="text1"/>
          <w:lang w:eastAsia="en-US"/>
        </w:rPr>
        <w:t>3</w:t>
      </w:r>
      <w:r w:rsidR="00AD7DF9">
        <w:rPr>
          <w:rFonts w:eastAsiaTheme="minorEastAsia"/>
          <w:noProof/>
          <w:color w:val="000000" w:themeColor="text1"/>
          <w:lang w:eastAsia="en-US"/>
        </w:rPr>
        <w:t>. </w:t>
      </w:r>
      <w:r w:rsidR="00A144D2">
        <w:rPr>
          <w:color w:val="000000"/>
        </w:rPr>
        <w:t>Контроль</w:t>
      </w:r>
      <w:r w:rsidR="00A144D2">
        <w:rPr>
          <w:color w:val="000000"/>
          <w:spacing w:val="22"/>
        </w:rPr>
        <w:t xml:space="preserve"> </w:t>
      </w:r>
      <w:r w:rsidR="00A144D2">
        <w:rPr>
          <w:color w:val="000000"/>
        </w:rPr>
        <w:t>за</w:t>
      </w:r>
      <w:r w:rsidR="00A144D2">
        <w:rPr>
          <w:color w:val="000000"/>
          <w:spacing w:val="23"/>
        </w:rPr>
        <w:t xml:space="preserve"> </w:t>
      </w:r>
      <w:r w:rsidR="00A144D2">
        <w:rPr>
          <w:color w:val="000000"/>
        </w:rPr>
        <w:t>виконанням</w:t>
      </w:r>
      <w:r w:rsidR="00A144D2">
        <w:rPr>
          <w:color w:val="000000"/>
          <w:spacing w:val="24"/>
        </w:rPr>
        <w:t xml:space="preserve"> </w:t>
      </w:r>
      <w:r w:rsidR="00A144D2">
        <w:rPr>
          <w:color w:val="000000"/>
        </w:rPr>
        <w:t>ці</w:t>
      </w:r>
      <w:r w:rsidR="00A144D2">
        <w:rPr>
          <w:color w:val="000000"/>
          <w:spacing w:val="-2"/>
        </w:rPr>
        <w:t>є</w:t>
      </w:r>
      <w:r w:rsidR="00A144D2">
        <w:rPr>
          <w:color w:val="000000"/>
        </w:rPr>
        <w:t>ї</w:t>
      </w:r>
      <w:r w:rsidR="00A144D2">
        <w:rPr>
          <w:color w:val="000000"/>
          <w:spacing w:val="23"/>
        </w:rPr>
        <w:t xml:space="preserve"> </w:t>
      </w:r>
      <w:r w:rsidR="00A144D2">
        <w:rPr>
          <w:color w:val="000000"/>
          <w:spacing w:val="1"/>
        </w:rPr>
        <w:t>п</w:t>
      </w:r>
      <w:r w:rsidR="00A144D2">
        <w:rPr>
          <w:color w:val="000000"/>
        </w:rPr>
        <w:t>оста</w:t>
      </w:r>
      <w:r w:rsidR="00A144D2">
        <w:rPr>
          <w:color w:val="000000"/>
          <w:spacing w:val="-1"/>
        </w:rPr>
        <w:t>но</w:t>
      </w:r>
      <w:r w:rsidR="00A144D2">
        <w:rPr>
          <w:color w:val="000000"/>
        </w:rPr>
        <w:t>ви</w:t>
      </w:r>
      <w:r w:rsidR="00A144D2">
        <w:rPr>
          <w:color w:val="000000"/>
          <w:spacing w:val="23"/>
        </w:rPr>
        <w:t xml:space="preserve"> </w:t>
      </w:r>
      <w:r w:rsidR="00A144D2">
        <w:rPr>
          <w:color w:val="000000"/>
          <w:spacing w:val="1"/>
        </w:rPr>
        <w:t>п</w:t>
      </w:r>
      <w:r w:rsidR="00A144D2">
        <w:rPr>
          <w:color w:val="000000"/>
        </w:rPr>
        <w:t>окласти</w:t>
      </w:r>
      <w:r w:rsidR="00A144D2">
        <w:rPr>
          <w:color w:val="000000"/>
          <w:spacing w:val="24"/>
        </w:rPr>
        <w:t xml:space="preserve"> </w:t>
      </w:r>
      <w:r w:rsidR="00A144D2">
        <w:rPr>
          <w:color w:val="000000"/>
          <w:spacing w:val="-1"/>
        </w:rPr>
        <w:t>н</w:t>
      </w:r>
      <w:r w:rsidR="00A144D2">
        <w:rPr>
          <w:color w:val="000000"/>
        </w:rPr>
        <w:t>а</w:t>
      </w:r>
      <w:r w:rsidR="00A144D2">
        <w:rPr>
          <w:color w:val="000000"/>
          <w:spacing w:val="23"/>
        </w:rPr>
        <w:t xml:space="preserve"> </w:t>
      </w:r>
      <w:r w:rsidR="00A144D2">
        <w:rPr>
          <w:color w:val="000000"/>
        </w:rPr>
        <w:t>за</w:t>
      </w:r>
      <w:r w:rsidR="00A144D2">
        <w:rPr>
          <w:color w:val="000000"/>
          <w:spacing w:val="5"/>
        </w:rPr>
        <w:t>с</w:t>
      </w:r>
      <w:r w:rsidR="00A144D2">
        <w:rPr>
          <w:color w:val="000000"/>
        </w:rPr>
        <w:t>т</w:t>
      </w:r>
      <w:r w:rsidR="00A144D2">
        <w:rPr>
          <w:color w:val="000000"/>
          <w:spacing w:val="-2"/>
        </w:rPr>
        <w:t>у</w:t>
      </w:r>
      <w:r w:rsidR="00A144D2">
        <w:rPr>
          <w:color w:val="000000"/>
        </w:rPr>
        <w:t>пника</w:t>
      </w:r>
      <w:r w:rsidR="00A144D2">
        <w:rPr>
          <w:color w:val="000000"/>
          <w:spacing w:val="24"/>
        </w:rPr>
        <w:t xml:space="preserve"> </w:t>
      </w:r>
      <w:r w:rsidR="00A144D2">
        <w:rPr>
          <w:color w:val="000000"/>
        </w:rPr>
        <w:t>Голо</w:t>
      </w:r>
      <w:r w:rsidR="00A144D2">
        <w:rPr>
          <w:color w:val="000000"/>
          <w:spacing w:val="-1"/>
        </w:rPr>
        <w:t>в</w:t>
      </w:r>
      <w:r w:rsidR="00A144D2">
        <w:rPr>
          <w:color w:val="000000"/>
        </w:rPr>
        <w:t>и Нац</w:t>
      </w:r>
      <w:r w:rsidR="00A144D2">
        <w:rPr>
          <w:color w:val="000000"/>
          <w:spacing w:val="-1"/>
        </w:rPr>
        <w:t>і</w:t>
      </w:r>
      <w:r w:rsidR="00A144D2">
        <w:rPr>
          <w:color w:val="000000"/>
        </w:rPr>
        <w:t>онал</w:t>
      </w:r>
      <w:r w:rsidR="00A144D2">
        <w:rPr>
          <w:color w:val="000000"/>
          <w:spacing w:val="-1"/>
        </w:rPr>
        <w:t>ь</w:t>
      </w:r>
      <w:r w:rsidR="00A144D2">
        <w:rPr>
          <w:color w:val="000000"/>
        </w:rPr>
        <w:t>ного</w:t>
      </w:r>
      <w:r w:rsidR="00A144D2">
        <w:rPr>
          <w:color w:val="000000"/>
          <w:spacing w:val="-1"/>
        </w:rPr>
        <w:t xml:space="preserve"> </w:t>
      </w:r>
      <w:r w:rsidR="00A144D2">
        <w:rPr>
          <w:color w:val="000000"/>
        </w:rPr>
        <w:t>ба</w:t>
      </w:r>
      <w:r w:rsidR="00A144D2">
        <w:rPr>
          <w:color w:val="000000"/>
          <w:spacing w:val="-1"/>
        </w:rPr>
        <w:t>нк</w:t>
      </w:r>
      <w:r w:rsidR="00A144D2">
        <w:rPr>
          <w:color w:val="000000"/>
        </w:rPr>
        <w:t>у Ук</w:t>
      </w:r>
      <w:r w:rsidR="00A144D2">
        <w:rPr>
          <w:color w:val="000000"/>
          <w:spacing w:val="1"/>
        </w:rPr>
        <w:t>р</w:t>
      </w:r>
      <w:r w:rsidR="00A144D2">
        <w:rPr>
          <w:color w:val="000000"/>
          <w:spacing w:val="-1"/>
        </w:rPr>
        <w:t>а</w:t>
      </w:r>
      <w:r w:rsidR="00A144D2">
        <w:rPr>
          <w:color w:val="000000"/>
        </w:rPr>
        <w:t>ї</w:t>
      </w:r>
      <w:r w:rsidR="00A144D2">
        <w:rPr>
          <w:color w:val="000000"/>
          <w:spacing w:val="-1"/>
        </w:rPr>
        <w:t>н</w:t>
      </w:r>
      <w:r w:rsidR="00A144D2">
        <w:rPr>
          <w:color w:val="000000"/>
        </w:rPr>
        <w:t>и О</w:t>
      </w:r>
      <w:r w:rsidR="00A144D2">
        <w:rPr>
          <w:color w:val="000000"/>
          <w:spacing w:val="-1"/>
        </w:rPr>
        <w:t>л</w:t>
      </w:r>
      <w:r w:rsidR="00A144D2">
        <w:rPr>
          <w:color w:val="000000"/>
        </w:rPr>
        <w:t>ексія</w:t>
      </w:r>
      <w:r w:rsidR="00A144D2">
        <w:rPr>
          <w:color w:val="000000"/>
          <w:spacing w:val="-3"/>
        </w:rPr>
        <w:t xml:space="preserve"> </w:t>
      </w:r>
      <w:proofErr w:type="spellStart"/>
      <w:r w:rsidR="00A144D2">
        <w:rPr>
          <w:color w:val="000000"/>
        </w:rPr>
        <w:t>Шабана</w:t>
      </w:r>
      <w:proofErr w:type="spellEnd"/>
      <w:r w:rsidR="005212A1" w:rsidRPr="005212A1">
        <w:rPr>
          <w:rFonts w:eastAsiaTheme="minorEastAsia"/>
          <w:noProof/>
          <w:color w:val="000000" w:themeColor="text1"/>
          <w:lang w:val="ru-RU" w:eastAsia="en-US"/>
        </w:rPr>
        <w:t>.</w:t>
      </w:r>
    </w:p>
    <w:p w:rsidR="00181CC1" w:rsidRPr="00812ED0" w:rsidRDefault="001230AA" w:rsidP="00812ED0">
      <w:pPr>
        <w:spacing w:before="240" w:after="240"/>
        <w:ind w:firstLine="567"/>
        <w:rPr>
          <w:rFonts w:eastAsiaTheme="minorEastAsia"/>
          <w:noProof/>
          <w:color w:val="000000" w:themeColor="text1"/>
          <w:lang w:eastAsia="en-US"/>
        </w:rPr>
      </w:pPr>
      <w:r>
        <w:rPr>
          <w:rFonts w:eastAsiaTheme="minorEastAsia"/>
          <w:noProof/>
          <w:color w:val="000000" w:themeColor="text1"/>
          <w:lang w:eastAsia="en-US"/>
        </w:rPr>
        <w:t>4</w:t>
      </w:r>
      <w:r w:rsidR="00AD7DF9">
        <w:rPr>
          <w:rFonts w:eastAsiaTheme="minorEastAsia"/>
          <w:noProof/>
          <w:color w:val="000000" w:themeColor="text1"/>
          <w:lang w:eastAsia="en-US"/>
        </w:rPr>
        <w:t>. </w:t>
      </w:r>
      <w:r w:rsidR="00A144D2" w:rsidRPr="00964AB4">
        <w:t xml:space="preserve">Постанова набирає чинності </w:t>
      </w:r>
      <w:bookmarkStart w:id="0" w:name="_Hlk104981347"/>
      <w:r w:rsidR="00A144D2" w:rsidRPr="00964AB4">
        <w:t>з дня</w:t>
      </w:r>
      <w:r w:rsidR="00A144D2" w:rsidRPr="004A4952">
        <w:rPr>
          <w:lang w:val="ru-RU"/>
        </w:rPr>
        <w:t>,</w:t>
      </w:r>
      <w:r w:rsidR="00A144D2">
        <w:t xml:space="preserve"> наступного за днем її офіційного опублікування</w:t>
      </w:r>
      <w:bookmarkEnd w:id="0"/>
      <w:r w:rsidR="005212A1" w:rsidRPr="005212A1">
        <w:rPr>
          <w:rFonts w:eastAsiaTheme="minorEastAsia"/>
          <w:noProof/>
          <w:color w:val="000000" w:themeColor="text1"/>
          <w:lang w:val="ru-RU" w:eastAsia="en-US"/>
        </w:rPr>
        <w:t>.</w:t>
      </w: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DD60CC" w:rsidRPr="00CD0CD4" w:rsidTr="006C0435">
        <w:tc>
          <w:tcPr>
            <w:tcW w:w="5495" w:type="dxa"/>
            <w:vAlign w:val="bottom"/>
          </w:tcPr>
          <w:p w:rsidR="00DD60CC" w:rsidRPr="00CD0CD4" w:rsidRDefault="00A144D2" w:rsidP="00446BBA">
            <w:pPr>
              <w:tabs>
                <w:tab w:val="left" w:pos="7020"/>
                <w:tab w:val="left" w:pos="7200"/>
              </w:tabs>
              <w:autoSpaceDE w:val="0"/>
              <w:autoSpaceDN w:val="0"/>
              <w:ind w:left="-111"/>
              <w:jc w:val="left"/>
            </w:pPr>
            <w:r w:rsidRPr="00B0507A">
              <w:rPr>
                <w:lang w:eastAsia="en-US"/>
              </w:rPr>
              <w:t>Голова</w:t>
            </w:r>
          </w:p>
        </w:tc>
        <w:tc>
          <w:tcPr>
            <w:tcW w:w="4252" w:type="dxa"/>
            <w:vAlign w:val="bottom"/>
          </w:tcPr>
          <w:p w:rsidR="00DD60CC" w:rsidRPr="00CD0CD4" w:rsidRDefault="00A144D2" w:rsidP="00181CC1">
            <w:pPr>
              <w:tabs>
                <w:tab w:val="left" w:pos="7020"/>
                <w:tab w:val="left" w:pos="7200"/>
              </w:tabs>
              <w:autoSpaceDE w:val="0"/>
              <w:autoSpaceDN w:val="0"/>
              <w:ind w:left="32"/>
              <w:jc w:val="right"/>
            </w:pPr>
            <w:r w:rsidRPr="00B0507A">
              <w:rPr>
                <w:lang w:eastAsia="en-US"/>
              </w:rPr>
              <w:t>Андрій ПИШНИЙ</w:t>
            </w:r>
          </w:p>
        </w:tc>
      </w:tr>
    </w:tbl>
    <w:p w:rsidR="00FA508E" w:rsidRDefault="00FA508E" w:rsidP="00E53CCD"/>
    <w:p w:rsidR="00812ED0" w:rsidRPr="00CD0CD4" w:rsidRDefault="00812ED0" w:rsidP="00E53CCD"/>
    <w:p w:rsidR="004C55C1" w:rsidRDefault="00FA508E" w:rsidP="00FA508E">
      <w:pPr>
        <w:jc w:val="left"/>
        <w:sectPr w:rsidR="004C55C1" w:rsidSect="00B930E3">
          <w:headerReference w:type="default" r:id="rId14"/>
          <w:pgSz w:w="11906" w:h="16838" w:code="9"/>
          <w:pgMar w:top="567" w:right="567" w:bottom="1701" w:left="1701" w:header="709" w:footer="709" w:gutter="0"/>
          <w:cols w:space="708"/>
          <w:titlePg/>
          <w:docGrid w:linePitch="381"/>
        </w:sectPr>
      </w:pPr>
      <w:r w:rsidRPr="00852665">
        <w:t>Інд.</w:t>
      </w:r>
      <w:r w:rsidRPr="00852665">
        <w:rPr>
          <w:sz w:val="22"/>
          <w:szCs w:val="22"/>
        </w:rPr>
        <w:t xml:space="preserve"> </w:t>
      </w:r>
      <w:r w:rsidR="00A144D2" w:rsidRPr="00852665">
        <w:t>5</w:t>
      </w:r>
      <w:r w:rsidR="002A2EE5" w:rsidRPr="00852665">
        <w:t>7</w:t>
      </w:r>
    </w:p>
    <w:p w:rsidR="002A2EE5" w:rsidRPr="00852665" w:rsidRDefault="002A2EE5" w:rsidP="002A2EE5">
      <w:pPr>
        <w:tabs>
          <w:tab w:val="left" w:pos="4962"/>
        </w:tabs>
        <w:rPr>
          <w:rFonts w:eastAsiaTheme="minorEastAsia"/>
          <w:noProof/>
          <w:lang w:eastAsia="en-US"/>
        </w:rPr>
      </w:pPr>
      <w:r>
        <w:lastRenderedPageBreak/>
        <w:t xml:space="preserve">                                                                                 </w:t>
      </w:r>
      <w:r w:rsidRPr="00852665">
        <w:rPr>
          <w:rFonts w:eastAsiaTheme="minorEastAsia"/>
          <w:noProof/>
          <w:lang w:eastAsia="en-US"/>
        </w:rPr>
        <w:t>ЗАТВЕРДЖЕНО</w:t>
      </w:r>
    </w:p>
    <w:p w:rsidR="002A2EE5" w:rsidRPr="00852665" w:rsidRDefault="002A2EE5" w:rsidP="002A2EE5">
      <w:pPr>
        <w:ind w:left="4956" w:firstLine="708"/>
        <w:rPr>
          <w:rFonts w:eastAsiaTheme="minorEastAsia"/>
          <w:noProof/>
          <w:lang w:eastAsia="en-US"/>
        </w:rPr>
      </w:pPr>
      <w:r w:rsidRPr="00852665">
        <w:rPr>
          <w:rFonts w:eastAsiaTheme="minorEastAsia"/>
          <w:noProof/>
          <w:lang w:eastAsia="en-US"/>
        </w:rPr>
        <w:t>Постанова Правління</w:t>
      </w:r>
    </w:p>
    <w:p w:rsidR="002A2EE5" w:rsidRPr="005A1219" w:rsidRDefault="002A2EE5" w:rsidP="002A2EE5">
      <w:pPr>
        <w:ind w:left="5664"/>
        <w:rPr>
          <w:rFonts w:eastAsiaTheme="minorEastAsia"/>
          <w:noProof/>
          <w:lang w:eastAsia="en-US"/>
        </w:rPr>
      </w:pPr>
      <w:r w:rsidRPr="00852665">
        <w:rPr>
          <w:rFonts w:eastAsiaTheme="minorEastAsia"/>
          <w:noProof/>
          <w:lang w:eastAsia="en-US"/>
        </w:rPr>
        <w:t>Національного банку України</w:t>
      </w:r>
    </w:p>
    <w:p w:rsidR="002A2EE5" w:rsidRPr="005A1219" w:rsidRDefault="0023686E" w:rsidP="002A2EE5">
      <w:pPr>
        <w:ind w:firstLine="567"/>
        <w:rPr>
          <w:rFonts w:eastAsiaTheme="minorEastAsia"/>
          <w:noProof/>
          <w:lang w:eastAsia="en-US"/>
        </w:rPr>
      </w:pPr>
      <w:r>
        <w:rPr>
          <w:rFonts w:eastAsiaTheme="minorEastAsia"/>
          <w:noProof/>
          <w:lang w:eastAsia="en-US"/>
        </w:rPr>
        <w:t xml:space="preserve">                                                                         27 березня 2024 року № 36</w:t>
      </w:r>
      <w:bookmarkStart w:id="1" w:name="_GoBack"/>
      <w:bookmarkEnd w:id="1"/>
    </w:p>
    <w:p w:rsidR="002A2EE5" w:rsidRDefault="002A2EE5" w:rsidP="002A2EE5">
      <w:pPr>
        <w:ind w:firstLine="567"/>
        <w:rPr>
          <w:rFonts w:eastAsiaTheme="minorEastAsia"/>
          <w:noProof/>
          <w:lang w:eastAsia="en-US"/>
        </w:rPr>
      </w:pPr>
    </w:p>
    <w:p w:rsidR="00B64664" w:rsidRPr="005A1219" w:rsidRDefault="00B64664" w:rsidP="002A2EE5">
      <w:pPr>
        <w:ind w:firstLine="567"/>
        <w:rPr>
          <w:rFonts w:eastAsiaTheme="minorEastAsia"/>
          <w:noProof/>
          <w:lang w:eastAsia="en-US"/>
        </w:rPr>
      </w:pPr>
    </w:p>
    <w:p w:rsidR="00B64664" w:rsidRDefault="002A2EE5" w:rsidP="002A2EE5">
      <w:pPr>
        <w:widowControl w:val="0"/>
        <w:spacing w:line="239" w:lineRule="auto"/>
        <w:ind w:left="3601" w:hanging="3601"/>
        <w:jc w:val="center"/>
      </w:pPr>
      <w:r w:rsidRPr="005A1219">
        <w:t>Зміни</w:t>
      </w:r>
      <w:r w:rsidRPr="005A1219">
        <w:rPr>
          <w:spacing w:val="-1"/>
        </w:rPr>
        <w:t xml:space="preserve"> д</w:t>
      </w:r>
      <w:r w:rsidRPr="005A1219">
        <w:t>о</w:t>
      </w:r>
      <w:r w:rsidRPr="005A1219">
        <w:rPr>
          <w:spacing w:val="1"/>
        </w:rPr>
        <w:t xml:space="preserve"> </w:t>
      </w:r>
      <w:r w:rsidRPr="005A1219">
        <w:t>Інс</w:t>
      </w:r>
      <w:r w:rsidRPr="005A1219">
        <w:rPr>
          <w:spacing w:val="-1"/>
        </w:rPr>
        <w:t>т</w:t>
      </w:r>
      <w:r w:rsidRPr="005A1219">
        <w:t>р</w:t>
      </w:r>
      <w:r w:rsidRPr="005A1219">
        <w:rPr>
          <w:spacing w:val="-3"/>
        </w:rPr>
        <w:t>у</w:t>
      </w:r>
      <w:r w:rsidRPr="005A1219">
        <w:t>к</w:t>
      </w:r>
      <w:r w:rsidRPr="005A1219">
        <w:rPr>
          <w:spacing w:val="1"/>
        </w:rPr>
        <w:t>ц</w:t>
      </w:r>
      <w:r w:rsidRPr="005A1219">
        <w:t>ії</w:t>
      </w:r>
      <w:r w:rsidRPr="005A1219">
        <w:rPr>
          <w:spacing w:val="1"/>
        </w:rPr>
        <w:t xml:space="preserve"> </w:t>
      </w:r>
      <w:r w:rsidRPr="005A1219">
        <w:t>про</w:t>
      </w:r>
      <w:r w:rsidRPr="005A1219">
        <w:rPr>
          <w:spacing w:val="1"/>
        </w:rPr>
        <w:t xml:space="preserve"> </w:t>
      </w:r>
      <w:r w:rsidRPr="005A1219">
        <w:t xml:space="preserve">виконання міжбанківських </w:t>
      </w:r>
    </w:p>
    <w:p w:rsidR="002A2EE5" w:rsidRPr="005A1219" w:rsidRDefault="002A2EE5" w:rsidP="002A2EE5">
      <w:pPr>
        <w:widowControl w:val="0"/>
        <w:spacing w:line="239" w:lineRule="auto"/>
        <w:ind w:left="3601" w:hanging="3601"/>
        <w:jc w:val="center"/>
      </w:pPr>
      <w:r w:rsidRPr="005A1219">
        <w:rPr>
          <w:spacing w:val="-1"/>
        </w:rPr>
        <w:t xml:space="preserve"> </w:t>
      </w:r>
      <w:r w:rsidRPr="005A1219">
        <w:t xml:space="preserve">платіжних операцій  </w:t>
      </w:r>
      <w:r w:rsidRPr="005A1219">
        <w:rPr>
          <w:spacing w:val="1"/>
        </w:rPr>
        <w:t>в</w:t>
      </w:r>
      <w:r w:rsidRPr="005A1219">
        <w:t xml:space="preserve"> </w:t>
      </w:r>
      <w:r w:rsidRPr="005A1219">
        <w:rPr>
          <w:spacing w:val="-3"/>
        </w:rPr>
        <w:t>У</w:t>
      </w:r>
      <w:r w:rsidRPr="005A1219">
        <w:t>к</w:t>
      </w:r>
      <w:r w:rsidRPr="005A1219">
        <w:rPr>
          <w:spacing w:val="1"/>
        </w:rPr>
        <w:t>р</w:t>
      </w:r>
      <w:r w:rsidRPr="005A1219">
        <w:rPr>
          <w:spacing w:val="-1"/>
        </w:rPr>
        <w:t>а</w:t>
      </w:r>
      <w:r w:rsidRPr="005A1219">
        <w:t>ї</w:t>
      </w:r>
      <w:r w:rsidRPr="005A1219">
        <w:rPr>
          <w:spacing w:val="-1"/>
        </w:rPr>
        <w:t>н</w:t>
      </w:r>
      <w:r w:rsidRPr="005A1219">
        <w:t xml:space="preserve">і </w:t>
      </w:r>
      <w:r w:rsidRPr="005A1219">
        <w:rPr>
          <w:spacing w:val="1"/>
        </w:rPr>
        <w:t>в</w:t>
      </w:r>
      <w:r w:rsidRPr="005A1219">
        <w:t xml:space="preserve"> націонал</w:t>
      </w:r>
      <w:r w:rsidRPr="005A1219">
        <w:rPr>
          <w:spacing w:val="-1"/>
        </w:rPr>
        <w:t>ьні</w:t>
      </w:r>
      <w:r w:rsidRPr="005A1219">
        <w:t>й вал</w:t>
      </w:r>
      <w:r w:rsidRPr="005A1219">
        <w:rPr>
          <w:spacing w:val="-2"/>
        </w:rPr>
        <w:t>ю</w:t>
      </w:r>
      <w:r w:rsidRPr="005A1219">
        <w:t>ті</w:t>
      </w:r>
    </w:p>
    <w:p w:rsidR="002A2EE5" w:rsidRDefault="002A2EE5" w:rsidP="00FA508E">
      <w:pPr>
        <w:jc w:val="left"/>
      </w:pPr>
    </w:p>
    <w:p w:rsidR="002A2EE5" w:rsidRDefault="002A2EE5" w:rsidP="002A2EE5">
      <w:pPr>
        <w:widowControl w:val="0"/>
        <w:ind w:left="3" w:right="-14" w:firstLine="566"/>
        <w:rPr>
          <w:bCs/>
          <w:color w:val="000000"/>
        </w:rPr>
      </w:pPr>
      <w:r>
        <w:rPr>
          <w:color w:val="000000"/>
        </w:rPr>
        <w:t>1. Підпункт 21 пункту 2 розділу І викласти в такій редакції:</w:t>
      </w:r>
    </w:p>
    <w:p w:rsidR="002A2EE5" w:rsidRDefault="002A2EE5" w:rsidP="002A2EE5">
      <w:pPr>
        <w:widowControl w:val="0"/>
        <w:ind w:left="3" w:right="-14" w:firstLine="566"/>
        <w:rPr>
          <w:color w:val="000000" w:themeColor="text1"/>
        </w:rPr>
      </w:pPr>
      <w:r w:rsidRPr="0063130C">
        <w:rPr>
          <w:color w:val="000000" w:themeColor="text1"/>
        </w:rPr>
        <w:t xml:space="preserve">“21) </w:t>
      </w:r>
      <w:r w:rsidRPr="0063130C">
        <w:rPr>
          <w:bCs/>
          <w:color w:val="000000" w:themeColor="text1"/>
        </w:rPr>
        <w:t>система автоматизації</w:t>
      </w:r>
      <w:r w:rsidRPr="0063130C">
        <w:rPr>
          <w:color w:val="000000" w:themeColor="text1"/>
        </w:rPr>
        <w:t xml:space="preserve"> – програмне забезпечення‚ що обслуговує </w:t>
      </w:r>
      <w:r w:rsidRPr="0063130C">
        <w:rPr>
          <w:bCs/>
          <w:color w:val="000000" w:themeColor="text1"/>
        </w:rPr>
        <w:t>поточну діяльність учасника СЕП</w:t>
      </w:r>
      <w:r w:rsidRPr="0063130C">
        <w:rPr>
          <w:color w:val="000000" w:themeColor="text1"/>
        </w:rPr>
        <w:t xml:space="preserve"> та використовується для забезпечення </w:t>
      </w:r>
      <w:r w:rsidRPr="0063130C">
        <w:t>ініціювання, виконання та завершення</w:t>
      </w:r>
      <w:r w:rsidRPr="0063130C">
        <w:rPr>
          <w:color w:val="FF0000"/>
        </w:rPr>
        <w:t xml:space="preserve">  </w:t>
      </w:r>
      <w:r w:rsidRPr="0063130C">
        <w:rPr>
          <w:color w:val="000000" w:themeColor="text1"/>
        </w:rPr>
        <w:t>платіжних операцій;”</w:t>
      </w:r>
      <w:r>
        <w:rPr>
          <w:color w:val="000000" w:themeColor="text1"/>
        </w:rPr>
        <w:t xml:space="preserve">.  </w:t>
      </w:r>
    </w:p>
    <w:p w:rsidR="002A2EE5" w:rsidRPr="00A144D2" w:rsidRDefault="002A2EE5" w:rsidP="002A2EE5">
      <w:pPr>
        <w:widowControl w:val="0"/>
        <w:ind w:left="3" w:right="-14" w:firstLine="566"/>
        <w:rPr>
          <w:bCs/>
          <w:color w:val="000000"/>
        </w:rPr>
      </w:pPr>
    </w:p>
    <w:p w:rsidR="002A2EE5" w:rsidRDefault="0084655B" w:rsidP="002A2EE5">
      <w:pPr>
        <w:ind w:firstLine="567"/>
        <w:rPr>
          <w:color w:val="000000" w:themeColor="text1"/>
        </w:rPr>
      </w:pPr>
      <w:r>
        <w:rPr>
          <w:color w:val="000000" w:themeColor="text1"/>
        </w:rPr>
        <w:t xml:space="preserve">2. </w:t>
      </w:r>
      <w:r w:rsidRPr="00FB25A9">
        <w:rPr>
          <w:color w:val="000000" w:themeColor="text1"/>
        </w:rPr>
        <w:t>Пункт</w:t>
      </w:r>
      <w:r w:rsidR="002A2EE5" w:rsidRPr="008B2C4E">
        <w:rPr>
          <w:color w:val="000000" w:themeColor="text1"/>
        </w:rPr>
        <w:t xml:space="preserve"> 58 розділу </w:t>
      </w:r>
      <w:r w:rsidR="002A2EE5" w:rsidRPr="008B2C4E">
        <w:rPr>
          <w:color w:val="000000" w:themeColor="text1"/>
          <w:lang w:val="en-US"/>
        </w:rPr>
        <w:t>IV</w:t>
      </w:r>
      <w:r w:rsidR="002A2EE5" w:rsidRPr="008B2C4E">
        <w:rPr>
          <w:color w:val="000000" w:themeColor="text1"/>
        </w:rPr>
        <w:t xml:space="preserve"> доп</w:t>
      </w:r>
      <w:r w:rsidR="00923563">
        <w:rPr>
          <w:color w:val="000000" w:themeColor="text1"/>
        </w:rPr>
        <w:t xml:space="preserve">овнити </w:t>
      </w:r>
      <w:r w:rsidR="00923563" w:rsidRPr="00852665">
        <w:rPr>
          <w:color w:val="000000" w:themeColor="text1"/>
        </w:rPr>
        <w:t>двома новими підпунктами</w:t>
      </w:r>
      <w:r w:rsidR="002A2EE5" w:rsidRPr="008B2C4E">
        <w:rPr>
          <w:color w:val="000000" w:themeColor="text1"/>
        </w:rPr>
        <w:t xml:space="preserve"> такого змісту:</w:t>
      </w:r>
    </w:p>
    <w:p w:rsidR="002A2EE5" w:rsidRPr="005337BE" w:rsidRDefault="002A2EE5" w:rsidP="002A2EE5">
      <w:pPr>
        <w:autoSpaceDE w:val="0"/>
        <w:autoSpaceDN w:val="0"/>
        <w:ind w:firstLine="426"/>
        <w:rPr>
          <w:shd w:val="clear" w:color="auto" w:fill="FFFFFF"/>
        </w:rPr>
      </w:pPr>
      <w:r w:rsidRPr="005337BE">
        <w:rPr>
          <w:color w:val="000000" w:themeColor="text1"/>
        </w:rPr>
        <w:t xml:space="preserve"> </w:t>
      </w:r>
      <w:r w:rsidRPr="005337BE">
        <w:rPr>
          <w:bCs/>
        </w:rPr>
        <w:t>“</w:t>
      </w:r>
      <w:r w:rsidRPr="005337BE">
        <w:rPr>
          <w:lang w:eastAsia="ru-RU"/>
        </w:rPr>
        <w:t xml:space="preserve">4) попереднього зарахування коштів за платіжною операцією  на окремий рахунок, </w:t>
      </w:r>
      <w:r w:rsidR="00923563" w:rsidRPr="009B7CE4">
        <w:rPr>
          <w:iCs/>
        </w:rPr>
        <w:t>визначений нормативно-правовим актом</w:t>
      </w:r>
      <w:r w:rsidRPr="009B7CE4">
        <w:rPr>
          <w:iCs/>
        </w:rPr>
        <w:t xml:space="preserve"> Національного банку</w:t>
      </w:r>
      <w:r w:rsidR="00923563" w:rsidRPr="009B7CE4">
        <w:rPr>
          <w:iCs/>
        </w:rPr>
        <w:t xml:space="preserve"> з питань </w:t>
      </w:r>
      <w:r w:rsidR="00923563" w:rsidRPr="009B7CE4">
        <w:rPr>
          <w:bCs/>
          <w:shd w:val="clear" w:color="auto" w:fill="FFFFFF"/>
        </w:rPr>
        <w:t>заходів захисту та визначення порядку здійснення окремих операцій в іноземній валюті</w:t>
      </w:r>
      <w:r w:rsidRPr="009B7CE4">
        <w:rPr>
          <w:iCs/>
        </w:rPr>
        <w:t>,</w:t>
      </w:r>
      <w:r w:rsidRPr="009B7CE4">
        <w:rPr>
          <w:lang w:eastAsia="ru-RU"/>
        </w:rPr>
        <w:t xml:space="preserve"> з метою забезпечення</w:t>
      </w:r>
      <w:r w:rsidRPr="005337BE">
        <w:rPr>
          <w:lang w:eastAsia="ru-RU"/>
        </w:rPr>
        <w:t xml:space="preserve"> виконання учасником СЕП функцій </w:t>
      </w:r>
      <w:proofErr w:type="spellStart"/>
      <w:r w:rsidRPr="005337BE">
        <w:rPr>
          <w:lang w:eastAsia="ru-RU"/>
        </w:rPr>
        <w:t>агента</w:t>
      </w:r>
      <w:proofErr w:type="spellEnd"/>
      <w:r w:rsidRPr="005337BE">
        <w:rPr>
          <w:lang w:eastAsia="ru-RU"/>
        </w:rPr>
        <w:t xml:space="preserve"> валютного нагляду за відповідністю </w:t>
      </w:r>
      <w:r w:rsidRPr="005337BE">
        <w:rPr>
          <w:shd w:val="clear" w:color="auto" w:fill="FFFFFF"/>
        </w:rPr>
        <w:t>здійснюваних операцій валютному законодавству України;</w:t>
      </w:r>
    </w:p>
    <w:p w:rsidR="002A2EE5" w:rsidRPr="005337BE" w:rsidRDefault="002A2EE5" w:rsidP="002A2EE5">
      <w:pPr>
        <w:rPr>
          <w:bCs/>
        </w:rPr>
      </w:pPr>
      <w:r w:rsidRPr="005337BE">
        <w:rPr>
          <w:color w:val="333333"/>
          <w:shd w:val="clear" w:color="auto" w:fill="FFFFFF"/>
        </w:rPr>
        <w:t xml:space="preserve"> </w:t>
      </w:r>
      <w:r w:rsidRPr="005337BE">
        <w:rPr>
          <w:bCs/>
        </w:rPr>
        <w:t xml:space="preserve">  </w:t>
      </w:r>
    </w:p>
    <w:p w:rsidR="002A2EE5" w:rsidRPr="009C62CC" w:rsidRDefault="002A2EE5" w:rsidP="002A2EE5">
      <w:pPr>
        <w:autoSpaceDE w:val="0"/>
        <w:autoSpaceDN w:val="0"/>
        <w:ind w:firstLine="441"/>
        <w:rPr>
          <w:bCs/>
        </w:rPr>
      </w:pPr>
      <w:r w:rsidRPr="008E283C">
        <w:rPr>
          <w:bCs/>
        </w:rPr>
        <w:t xml:space="preserve"> </w:t>
      </w:r>
      <w:r w:rsidRPr="009C62CC">
        <w:rPr>
          <w:bCs/>
        </w:rPr>
        <w:t xml:space="preserve">5) </w:t>
      </w:r>
      <w:proofErr w:type="spellStart"/>
      <w:r w:rsidRPr="009C62CC">
        <w:rPr>
          <w:bCs/>
          <w:lang w:val="ru-RU"/>
        </w:rPr>
        <w:t>виконання</w:t>
      </w:r>
      <w:proofErr w:type="spellEnd"/>
      <w:r w:rsidRPr="009C62CC">
        <w:rPr>
          <w:bCs/>
          <w:lang w:val="ru-RU"/>
        </w:rPr>
        <w:t xml:space="preserve"> </w:t>
      </w:r>
      <w:r w:rsidRPr="009C62CC">
        <w:rPr>
          <w:bCs/>
        </w:rPr>
        <w:t xml:space="preserve">учасником СЕП </w:t>
      </w:r>
      <w:proofErr w:type="spellStart"/>
      <w:r w:rsidRPr="009C62CC">
        <w:rPr>
          <w:bCs/>
        </w:rPr>
        <w:t>технологічн</w:t>
      </w:r>
      <w:proofErr w:type="spellEnd"/>
      <w:r w:rsidRPr="009C62CC">
        <w:rPr>
          <w:bCs/>
          <w:lang w:val="ru-RU"/>
        </w:rPr>
        <w:t xml:space="preserve">их </w:t>
      </w:r>
      <w:r w:rsidRPr="009C62CC">
        <w:rPr>
          <w:bCs/>
        </w:rPr>
        <w:t>робіт з обслуговування системи автоматизації учасника</w:t>
      </w:r>
      <w:r>
        <w:rPr>
          <w:bCs/>
        </w:rPr>
        <w:t xml:space="preserve"> СЕП</w:t>
      </w:r>
      <w:r w:rsidRPr="009C62CC">
        <w:rPr>
          <w:bCs/>
        </w:rPr>
        <w:t xml:space="preserve">, унаслідок яких платіжна операція не може бути завершена в строк, визначений в абзаці першому пункту 58 розділу </w:t>
      </w:r>
      <w:r w:rsidRPr="009C62CC">
        <w:rPr>
          <w:bCs/>
          <w:lang w:val="en-US"/>
        </w:rPr>
        <w:t>IV</w:t>
      </w:r>
      <w:r w:rsidRPr="009C62CC">
        <w:rPr>
          <w:bCs/>
          <w:lang w:val="ru-RU"/>
        </w:rPr>
        <w:t xml:space="preserve"> </w:t>
      </w:r>
      <w:r w:rsidRPr="009C62CC">
        <w:rPr>
          <w:bCs/>
        </w:rPr>
        <w:t>цієї Інструкції, за умови, що:</w:t>
      </w:r>
    </w:p>
    <w:p w:rsidR="002A2EE5" w:rsidRPr="009C62CC" w:rsidRDefault="002A2EE5" w:rsidP="002A2EE5">
      <w:pPr>
        <w:autoSpaceDE w:val="0"/>
        <w:autoSpaceDN w:val="0"/>
        <w:ind w:firstLine="582"/>
        <w:rPr>
          <w:bCs/>
        </w:rPr>
      </w:pPr>
      <w:r w:rsidRPr="009C62CC">
        <w:rPr>
          <w:bCs/>
        </w:rPr>
        <w:t>проведення технологічних робіт здійснюється  у часи найменшої активності платіжних операцій клієнтів;</w:t>
      </w:r>
    </w:p>
    <w:p w:rsidR="002A2EE5" w:rsidRPr="009C62CC" w:rsidRDefault="002A2EE5" w:rsidP="002A2EE5">
      <w:pPr>
        <w:ind w:firstLine="582"/>
        <w:rPr>
          <w:rFonts w:ascii="Calibri" w:hAnsi="Calibri" w:cs="Calibri"/>
          <w:color w:val="1F497D"/>
        </w:rPr>
      </w:pPr>
      <w:r w:rsidRPr="009C62CC">
        <w:rPr>
          <w:bCs/>
        </w:rPr>
        <w:t xml:space="preserve">про виконання технологічних робіт попередньо повідомлено ЦОСЕП та клієнтів із зазначенням дати та часу їх проведення та очікуваної тривалості виконання.”. </w:t>
      </w:r>
    </w:p>
    <w:p w:rsidR="002A2EE5" w:rsidRDefault="002A2EE5" w:rsidP="002A2EE5">
      <w:pPr>
        <w:spacing w:before="240" w:after="240"/>
        <w:ind w:firstLine="567"/>
        <w:rPr>
          <w:bCs/>
        </w:rPr>
      </w:pPr>
      <w:r w:rsidRPr="008B2C4E">
        <w:rPr>
          <w:bCs/>
          <w:lang w:val="ru-RU"/>
        </w:rPr>
        <w:t xml:space="preserve">3. </w:t>
      </w:r>
      <w:r>
        <w:rPr>
          <w:bCs/>
          <w:lang w:val="ru-RU"/>
        </w:rPr>
        <w:t xml:space="preserve">У </w:t>
      </w:r>
      <w:proofErr w:type="spellStart"/>
      <w:r>
        <w:rPr>
          <w:bCs/>
          <w:lang w:val="ru-RU"/>
        </w:rPr>
        <w:t>розділі</w:t>
      </w:r>
      <w:proofErr w:type="spellEnd"/>
      <w:r w:rsidRPr="008B2C4E">
        <w:rPr>
          <w:bCs/>
          <w:lang w:val="ru-RU"/>
        </w:rPr>
        <w:t xml:space="preserve"> </w:t>
      </w:r>
      <w:r w:rsidRPr="008B2C4E">
        <w:rPr>
          <w:bCs/>
          <w:lang w:val="en-US"/>
        </w:rPr>
        <w:t>XIV</w:t>
      </w:r>
      <w:r>
        <w:rPr>
          <w:bCs/>
        </w:rPr>
        <w:t xml:space="preserve">: </w:t>
      </w:r>
    </w:p>
    <w:p w:rsidR="002A2EE5" w:rsidRDefault="002A2EE5" w:rsidP="002A2EE5">
      <w:pPr>
        <w:ind w:firstLine="567"/>
        <w:rPr>
          <w:bCs/>
        </w:rPr>
      </w:pPr>
      <w:r>
        <w:rPr>
          <w:bCs/>
        </w:rPr>
        <w:t xml:space="preserve">1) </w:t>
      </w:r>
      <w:r w:rsidR="00923563" w:rsidRPr="00852665">
        <w:rPr>
          <w:bCs/>
        </w:rPr>
        <w:t>розділ</w:t>
      </w:r>
      <w:r w:rsidR="00923563">
        <w:rPr>
          <w:bCs/>
        </w:rPr>
        <w:t xml:space="preserve"> </w:t>
      </w:r>
      <w:r>
        <w:rPr>
          <w:bCs/>
        </w:rPr>
        <w:t xml:space="preserve">після пункту 134 </w:t>
      </w:r>
      <w:r w:rsidRPr="008B2C4E">
        <w:rPr>
          <w:bCs/>
        </w:rPr>
        <w:t>доповнити новим пунктом 134</w:t>
      </w:r>
      <w:r w:rsidRPr="008B2C4E">
        <w:rPr>
          <w:bCs/>
          <w:vertAlign w:val="superscript"/>
        </w:rPr>
        <w:t>1</w:t>
      </w:r>
      <w:r w:rsidRPr="008B2C4E">
        <w:rPr>
          <w:bCs/>
        </w:rPr>
        <w:t xml:space="preserve"> такого змісту:</w:t>
      </w:r>
    </w:p>
    <w:p w:rsidR="002A2EE5" w:rsidRPr="009C62CC" w:rsidRDefault="002A2EE5" w:rsidP="002A2EE5">
      <w:pPr>
        <w:pStyle w:val="af5"/>
        <w:spacing w:before="0" w:beforeAutospacing="0" w:after="0" w:afterAutospacing="0"/>
        <w:ind w:right="-1" w:firstLine="567"/>
        <w:jc w:val="both"/>
        <w:rPr>
          <w:color w:val="000000" w:themeColor="text1"/>
          <w:sz w:val="28"/>
          <w:szCs w:val="28"/>
        </w:rPr>
      </w:pPr>
      <w:r w:rsidRPr="009C62CC">
        <w:rPr>
          <w:color w:val="000000" w:themeColor="text1"/>
          <w:sz w:val="28"/>
          <w:szCs w:val="28"/>
        </w:rPr>
        <w:t>“134</w:t>
      </w:r>
      <w:r w:rsidRPr="009C62CC">
        <w:rPr>
          <w:color w:val="000000" w:themeColor="text1"/>
          <w:sz w:val="28"/>
          <w:szCs w:val="28"/>
          <w:vertAlign w:val="superscript"/>
        </w:rPr>
        <w:t>1</w:t>
      </w:r>
      <w:r w:rsidRPr="009C62CC">
        <w:rPr>
          <w:color w:val="000000" w:themeColor="text1"/>
          <w:sz w:val="28"/>
          <w:szCs w:val="28"/>
        </w:rPr>
        <w:t xml:space="preserve">. Небанківський надавач платіжних послуг </w:t>
      </w:r>
      <w:proofErr w:type="spellStart"/>
      <w:r w:rsidRPr="009C62CC">
        <w:rPr>
          <w:color w:val="000000" w:themeColor="text1"/>
          <w:sz w:val="28"/>
          <w:szCs w:val="28"/>
        </w:rPr>
        <w:t>зобов</w:t>
      </w:r>
      <w:proofErr w:type="spellEnd"/>
      <w:r w:rsidRPr="009C62CC">
        <w:rPr>
          <w:color w:val="000000" w:themeColor="text1"/>
          <w:sz w:val="28"/>
          <w:szCs w:val="28"/>
          <w:lang w:val="ru-RU"/>
        </w:rPr>
        <w:t>’</w:t>
      </w:r>
      <w:proofErr w:type="spellStart"/>
      <w:r w:rsidRPr="009C62CC">
        <w:rPr>
          <w:color w:val="000000" w:themeColor="text1"/>
          <w:sz w:val="28"/>
          <w:szCs w:val="28"/>
        </w:rPr>
        <w:t>язаний</w:t>
      </w:r>
      <w:proofErr w:type="spellEnd"/>
      <w:r w:rsidRPr="009C62CC">
        <w:rPr>
          <w:color w:val="000000" w:themeColor="text1"/>
          <w:sz w:val="28"/>
          <w:szCs w:val="28"/>
        </w:rPr>
        <w:t xml:space="preserve"> до включення інформації про нього до довідника небанківських надавачів платіжних послуг:</w:t>
      </w:r>
    </w:p>
    <w:p w:rsidR="002A2EE5" w:rsidRPr="009C62CC" w:rsidRDefault="002A2EE5" w:rsidP="002A2EE5">
      <w:pPr>
        <w:pStyle w:val="af5"/>
        <w:spacing w:before="0" w:beforeAutospacing="0" w:after="0" w:afterAutospacing="0"/>
        <w:ind w:right="-1" w:firstLine="567"/>
        <w:jc w:val="both"/>
        <w:rPr>
          <w:color w:val="000000" w:themeColor="text1"/>
          <w:sz w:val="28"/>
          <w:szCs w:val="28"/>
        </w:rPr>
      </w:pPr>
    </w:p>
    <w:p w:rsidR="002A2EE5" w:rsidRPr="009C62CC" w:rsidRDefault="002A2EE5" w:rsidP="002A2EE5">
      <w:pPr>
        <w:pStyle w:val="af5"/>
        <w:numPr>
          <w:ilvl w:val="0"/>
          <w:numId w:val="3"/>
        </w:numPr>
        <w:tabs>
          <w:tab w:val="left" w:pos="722"/>
          <w:tab w:val="left" w:pos="864"/>
        </w:tabs>
        <w:spacing w:before="0" w:beforeAutospacing="0" w:after="0" w:afterAutospacing="0"/>
        <w:ind w:left="0" w:right="-1" w:firstLine="567"/>
        <w:jc w:val="both"/>
        <w:rPr>
          <w:color w:val="000000" w:themeColor="text1"/>
          <w:sz w:val="28"/>
          <w:szCs w:val="28"/>
          <w:lang w:eastAsia="ru-RU"/>
        </w:rPr>
      </w:pPr>
      <w:r w:rsidRPr="009C62CC">
        <w:rPr>
          <w:color w:val="000000" w:themeColor="text1"/>
          <w:sz w:val="28"/>
          <w:szCs w:val="28"/>
        </w:rPr>
        <w:t>забезпечити</w:t>
      </w:r>
      <w:r w:rsidRPr="009C62CC">
        <w:rPr>
          <w:color w:val="000000" w:themeColor="text1"/>
          <w:sz w:val="28"/>
          <w:szCs w:val="28"/>
          <w:lang w:eastAsia="ru-RU"/>
        </w:rPr>
        <w:t xml:space="preserve"> відповідну </w:t>
      </w:r>
      <w:r w:rsidRPr="009C62CC">
        <w:rPr>
          <w:color w:val="000000" w:themeColor="text1"/>
          <w:sz w:val="28"/>
          <w:szCs w:val="28"/>
        </w:rPr>
        <w:t>адаптацію програмно-технічних засобів до технології роботи СЕП,</w:t>
      </w:r>
      <w:r w:rsidRPr="009C62CC">
        <w:rPr>
          <w:color w:val="000000" w:themeColor="text1"/>
          <w:sz w:val="28"/>
          <w:szCs w:val="28"/>
          <w:lang w:eastAsia="ru-RU"/>
        </w:rPr>
        <w:t xml:space="preserve"> потрібну для взаємодії із СЕП та іншими інформаційними системами Національного банку (за потреби);</w:t>
      </w:r>
    </w:p>
    <w:p w:rsidR="002A2EE5" w:rsidRPr="009C62CC" w:rsidRDefault="002A2EE5" w:rsidP="002A2EE5">
      <w:pPr>
        <w:pStyle w:val="af5"/>
        <w:tabs>
          <w:tab w:val="left" w:pos="722"/>
          <w:tab w:val="left" w:pos="864"/>
        </w:tabs>
        <w:spacing w:before="0" w:beforeAutospacing="0" w:after="0" w:afterAutospacing="0"/>
        <w:ind w:left="567" w:right="-1"/>
        <w:jc w:val="both"/>
        <w:rPr>
          <w:color w:val="000000" w:themeColor="text1"/>
          <w:sz w:val="28"/>
          <w:szCs w:val="28"/>
          <w:lang w:eastAsia="ru-RU"/>
        </w:rPr>
      </w:pPr>
    </w:p>
    <w:p w:rsidR="007A65C4" w:rsidRPr="00852665" w:rsidRDefault="002A2EE5" w:rsidP="00CA0177">
      <w:pPr>
        <w:autoSpaceDE w:val="0"/>
        <w:autoSpaceDN w:val="0"/>
        <w:adjustRightInd w:val="0"/>
        <w:ind w:firstLine="582"/>
        <w:rPr>
          <w:color w:val="000000" w:themeColor="text1"/>
        </w:rPr>
      </w:pPr>
      <w:r w:rsidRPr="009C62CC">
        <w:rPr>
          <w:color w:val="000000" w:themeColor="text1"/>
        </w:rPr>
        <w:t>2) отримати від Національного банку підтвердження повної взаємодії із банком/філією банку – учасником СЕП, у я</w:t>
      </w:r>
      <w:r w:rsidR="0087766D">
        <w:rPr>
          <w:color w:val="000000" w:themeColor="text1"/>
        </w:rPr>
        <w:t>кому</w:t>
      </w:r>
      <w:r w:rsidR="0080565A">
        <w:rPr>
          <w:color w:val="000000" w:themeColor="text1"/>
        </w:rPr>
        <w:t>/якій</w:t>
      </w:r>
      <w:r w:rsidR="0087766D">
        <w:rPr>
          <w:color w:val="000000" w:themeColor="text1"/>
        </w:rPr>
        <w:t xml:space="preserve"> йому відкрито розрахунковий</w:t>
      </w:r>
      <w:r w:rsidR="00CA0177">
        <w:rPr>
          <w:color w:val="000000" w:themeColor="text1"/>
        </w:rPr>
        <w:t xml:space="preserve"> </w:t>
      </w:r>
      <w:r w:rsidRPr="009C62CC">
        <w:rPr>
          <w:color w:val="000000" w:themeColor="text1"/>
        </w:rPr>
        <w:t xml:space="preserve">рахунок, та СЕП на стенді СЕП у Національному банку </w:t>
      </w:r>
      <w:r w:rsidRPr="009C62CC">
        <w:rPr>
          <w:bCs/>
        </w:rPr>
        <w:lastRenderedPageBreak/>
        <w:t>відповідно до програми і методики тестування, визначен</w:t>
      </w:r>
      <w:r w:rsidR="0080565A">
        <w:rPr>
          <w:bCs/>
        </w:rPr>
        <w:t>ої</w:t>
      </w:r>
      <w:r w:rsidRPr="009C62CC">
        <w:rPr>
          <w:bCs/>
        </w:rPr>
        <w:t xml:space="preserve"> Національним банком;</w:t>
      </w:r>
    </w:p>
    <w:p w:rsidR="002A2EE5" w:rsidRPr="009C62CC" w:rsidRDefault="002A2EE5" w:rsidP="002A2EE5">
      <w:pPr>
        <w:autoSpaceDE w:val="0"/>
        <w:autoSpaceDN w:val="0"/>
        <w:adjustRightInd w:val="0"/>
        <w:ind w:firstLine="582"/>
        <w:rPr>
          <w:bCs/>
        </w:rPr>
      </w:pPr>
    </w:p>
    <w:p w:rsidR="002A2EE5" w:rsidRPr="009C62CC" w:rsidRDefault="002A2EE5" w:rsidP="002A2EE5">
      <w:pPr>
        <w:autoSpaceDE w:val="0"/>
        <w:autoSpaceDN w:val="0"/>
        <w:adjustRightInd w:val="0"/>
        <w:ind w:firstLine="582"/>
        <w:rPr>
          <w:bCs/>
        </w:rPr>
      </w:pPr>
      <w:r w:rsidRPr="009C62CC">
        <w:rPr>
          <w:bCs/>
        </w:rPr>
        <w:t>3) отримати від банку/філії банку – учасника СЕП, в якому/якій йому відкрито розрахунковий рахунок, підтвердження повної взаємодії із зазначеним</w:t>
      </w:r>
      <w:r w:rsidR="00F2176A">
        <w:rPr>
          <w:bCs/>
        </w:rPr>
        <w:t>/зазначеною</w:t>
      </w:r>
      <w:r w:rsidRPr="009C62CC">
        <w:rPr>
          <w:bCs/>
        </w:rPr>
        <w:t xml:space="preserve"> банком/філією банку – учасником СЕП з питань, що стосуються взаємодії небанківського надавача платіжних послуг і банку/філії банку – учасника СЕП без обміну інформацією з ЦОСЕП, відповідно до програми і методики тестування, </w:t>
      </w:r>
      <w:r w:rsidRPr="0080565A">
        <w:rPr>
          <w:bCs/>
        </w:rPr>
        <w:t>визначеної</w:t>
      </w:r>
      <w:r w:rsidRPr="009C62CC">
        <w:rPr>
          <w:bCs/>
        </w:rPr>
        <w:t xml:space="preserve"> зазначеним</w:t>
      </w:r>
      <w:r w:rsidR="0080565A">
        <w:rPr>
          <w:bCs/>
        </w:rPr>
        <w:t>/зазначеною</w:t>
      </w:r>
      <w:r w:rsidRPr="009C62CC">
        <w:rPr>
          <w:bCs/>
        </w:rPr>
        <w:t xml:space="preserve"> банком/філією банку – учасником СЕП.</w:t>
      </w:r>
      <w:r w:rsidRPr="009C62CC">
        <w:rPr>
          <w:color w:val="000000" w:themeColor="text1"/>
        </w:rPr>
        <w:t xml:space="preserve">”; </w:t>
      </w:r>
    </w:p>
    <w:p w:rsidR="002A2EE5" w:rsidRPr="005337BE" w:rsidRDefault="002A2EE5" w:rsidP="002A2EE5">
      <w:pPr>
        <w:autoSpaceDE w:val="0"/>
        <w:autoSpaceDN w:val="0"/>
        <w:adjustRightInd w:val="0"/>
        <w:ind w:firstLine="582"/>
        <w:rPr>
          <w:b/>
          <w:bCs/>
          <w:sz w:val="24"/>
          <w:szCs w:val="24"/>
        </w:rPr>
      </w:pPr>
    </w:p>
    <w:p w:rsidR="002A2EE5" w:rsidRDefault="002A2EE5" w:rsidP="002A2EE5">
      <w:pPr>
        <w:ind w:firstLine="567"/>
        <w:rPr>
          <w:color w:val="000000" w:themeColor="text1"/>
        </w:rPr>
      </w:pPr>
      <w:r>
        <w:rPr>
          <w:color w:val="000000" w:themeColor="text1"/>
        </w:rPr>
        <w:t xml:space="preserve"> 2) пункт 135 викласти в такій редакції:</w:t>
      </w:r>
    </w:p>
    <w:p w:rsidR="002A2EE5" w:rsidRPr="005337BE" w:rsidRDefault="002A2EE5" w:rsidP="002A2EE5">
      <w:pPr>
        <w:pStyle w:val="af5"/>
        <w:spacing w:before="0" w:beforeAutospacing="0" w:after="0" w:afterAutospacing="0"/>
        <w:ind w:firstLine="567"/>
        <w:jc w:val="both"/>
        <w:rPr>
          <w:color w:val="000000" w:themeColor="text1"/>
          <w:sz w:val="28"/>
          <w:szCs w:val="28"/>
          <w:lang w:eastAsia="ru-RU"/>
        </w:rPr>
      </w:pPr>
      <w:r>
        <w:rPr>
          <w:color w:val="000000" w:themeColor="text1"/>
        </w:rPr>
        <w:t xml:space="preserve"> </w:t>
      </w:r>
      <w:r w:rsidRPr="005337BE">
        <w:rPr>
          <w:color w:val="000000" w:themeColor="text1"/>
          <w:sz w:val="28"/>
          <w:szCs w:val="28"/>
        </w:rPr>
        <w:t xml:space="preserve">“135. </w:t>
      </w:r>
      <w:r w:rsidRPr="005337BE">
        <w:rPr>
          <w:color w:val="000000" w:themeColor="text1"/>
          <w:sz w:val="28"/>
          <w:szCs w:val="28"/>
          <w:lang w:eastAsia="ru-RU"/>
        </w:rPr>
        <w:t xml:space="preserve">Небанківський надавач платіжних послуг для внесення інформації про нього до </w:t>
      </w:r>
      <w:r w:rsidRPr="005337BE">
        <w:rPr>
          <w:color w:val="000000" w:themeColor="text1"/>
          <w:sz w:val="28"/>
          <w:szCs w:val="28"/>
        </w:rPr>
        <w:t>довідника небанківських надавачів платіжних послуг надсилає до банку/філії банку – учасника СЕП, у якому</w:t>
      </w:r>
      <w:r w:rsidR="00F2176A">
        <w:rPr>
          <w:color w:val="000000" w:themeColor="text1"/>
          <w:sz w:val="28"/>
          <w:szCs w:val="28"/>
        </w:rPr>
        <w:t>/якій</w:t>
      </w:r>
      <w:r w:rsidRPr="005337BE">
        <w:rPr>
          <w:color w:val="000000" w:themeColor="text1"/>
          <w:sz w:val="28"/>
          <w:szCs w:val="28"/>
        </w:rPr>
        <w:t xml:space="preserve"> йому відкрито розрахунковий рахунок, повідомлення </w:t>
      </w:r>
      <w:r w:rsidRPr="005337BE">
        <w:rPr>
          <w:bCs/>
          <w:color w:val="000000" w:themeColor="text1"/>
          <w:sz w:val="28"/>
          <w:szCs w:val="28"/>
        </w:rPr>
        <w:t>про внесення інформації до довідника небанківських надавачів платіжних послуг</w:t>
      </w:r>
      <w:r w:rsidRPr="005337BE">
        <w:rPr>
          <w:color w:val="000000" w:themeColor="text1"/>
          <w:sz w:val="28"/>
          <w:szCs w:val="28"/>
        </w:rPr>
        <w:t xml:space="preserve">, що містить інформацію, зазначену в додатку 8 до цієї Інструкції.  </w:t>
      </w:r>
      <w:r w:rsidRPr="005337BE">
        <w:rPr>
          <w:color w:val="000000" w:themeColor="text1"/>
          <w:sz w:val="28"/>
          <w:szCs w:val="28"/>
          <w:lang w:eastAsia="ru-RU"/>
        </w:rPr>
        <w:t xml:space="preserve"> </w:t>
      </w:r>
    </w:p>
    <w:p w:rsidR="002A2EE5" w:rsidRDefault="002A2EE5" w:rsidP="002A2EE5">
      <w:pPr>
        <w:shd w:val="clear" w:color="auto" w:fill="FFFFFF"/>
        <w:ind w:right="-1" w:firstLine="567"/>
        <w:rPr>
          <w:color w:val="000000" w:themeColor="text1"/>
        </w:rPr>
      </w:pPr>
      <w:r w:rsidRPr="005337BE">
        <w:rPr>
          <w:color w:val="000000" w:themeColor="text1"/>
        </w:rPr>
        <w:t>Банк</w:t>
      </w:r>
      <w:r w:rsidR="00B64664">
        <w:rPr>
          <w:color w:val="000000" w:themeColor="text1"/>
        </w:rPr>
        <w:t xml:space="preserve"> − </w:t>
      </w:r>
      <w:r w:rsidRPr="005337BE">
        <w:rPr>
          <w:color w:val="000000" w:themeColor="text1"/>
        </w:rPr>
        <w:t>учасник СЕП, який отримав повідомлення від небанківського надавача платіжних послуг безпосередньо або через філію банку</w:t>
      </w:r>
      <w:r w:rsidR="00B64664">
        <w:rPr>
          <w:color w:val="000000" w:themeColor="text1"/>
        </w:rPr>
        <w:t xml:space="preserve"> − </w:t>
      </w:r>
      <w:r w:rsidRPr="005337BE">
        <w:rPr>
          <w:color w:val="000000" w:themeColor="text1"/>
        </w:rPr>
        <w:t>учасника СЕП, зобов’язаний надіслати до Національного банку повідомлення про внесення інформації про небанківського надавача платіжних послуг до довідника небанківських надавачів платіжних послуг (</w:t>
      </w:r>
      <w:r w:rsidR="00B64664">
        <w:rPr>
          <w:color w:val="000000" w:themeColor="text1"/>
        </w:rPr>
        <w:t>в</w:t>
      </w:r>
      <w:r w:rsidRPr="005337BE">
        <w:rPr>
          <w:color w:val="000000" w:themeColor="text1"/>
        </w:rPr>
        <w:t>ключення, унесення змін, виключення) за формою, що наведена в додатку 8 до цієї Інструкції. Додатково банком – учасником СЕП до Національного банку має бути надіслане:</w:t>
      </w:r>
    </w:p>
    <w:p w:rsidR="00923563" w:rsidRPr="005337BE" w:rsidRDefault="00923563" w:rsidP="002A2EE5">
      <w:pPr>
        <w:shd w:val="clear" w:color="auto" w:fill="FFFFFF"/>
        <w:ind w:right="-1" w:firstLine="567"/>
        <w:rPr>
          <w:color w:val="000000" w:themeColor="text1"/>
        </w:rPr>
      </w:pPr>
    </w:p>
    <w:p w:rsidR="002A2EE5" w:rsidRPr="00852665" w:rsidRDefault="00923563" w:rsidP="002A2EE5">
      <w:pPr>
        <w:shd w:val="clear" w:color="auto" w:fill="FFFFFF"/>
        <w:ind w:right="-1" w:firstLine="567"/>
        <w:rPr>
          <w:color w:val="000000" w:themeColor="text1"/>
        </w:rPr>
      </w:pPr>
      <w:r w:rsidRPr="00852665">
        <w:rPr>
          <w:color w:val="000000" w:themeColor="text1"/>
        </w:rPr>
        <w:t xml:space="preserve">1) </w:t>
      </w:r>
      <w:r w:rsidR="002A2EE5" w:rsidRPr="00852665">
        <w:rPr>
          <w:color w:val="000000" w:themeColor="text1"/>
        </w:rPr>
        <w:t>повідомлення, яке отримане банком/філією банку – учасником СЕП від небанківського надавача платіжних послуг;</w:t>
      </w:r>
    </w:p>
    <w:p w:rsidR="00923563" w:rsidRPr="00852665" w:rsidRDefault="00923563" w:rsidP="002A2EE5">
      <w:pPr>
        <w:shd w:val="clear" w:color="auto" w:fill="FFFFFF"/>
        <w:ind w:right="-1" w:firstLine="567"/>
        <w:rPr>
          <w:color w:val="000000" w:themeColor="text1"/>
        </w:rPr>
      </w:pPr>
    </w:p>
    <w:p w:rsidR="00BE10F4" w:rsidRPr="00503EB1" w:rsidRDefault="00923563" w:rsidP="00503EB1">
      <w:pPr>
        <w:shd w:val="clear" w:color="auto" w:fill="FFFFFF"/>
        <w:ind w:right="-1" w:firstLine="567"/>
        <w:rPr>
          <w:bCs/>
        </w:rPr>
      </w:pPr>
      <w:r w:rsidRPr="00852665">
        <w:rPr>
          <w:bCs/>
        </w:rPr>
        <w:t xml:space="preserve">2) </w:t>
      </w:r>
      <w:r w:rsidR="002A2EE5" w:rsidRPr="00852665">
        <w:rPr>
          <w:bCs/>
        </w:rPr>
        <w:t>підтвердження</w:t>
      </w:r>
      <w:r w:rsidR="002A2EE5" w:rsidRPr="005337BE">
        <w:rPr>
          <w:bCs/>
        </w:rPr>
        <w:t xml:space="preserve"> повної взаємодії небанківського надавача платіжних послуг із банком/філією банку – учасником СЕП, в якому/якій відкрито розрахунковий рахунок небанківського надавача платіжних послуг, з питань, що стосуються взаємодії небанківського надавача платіжних послуг і банку/філії банку – учасника СЕП без обміну інформацією з ЦОСЕП, відповідно до програми і методики тестування, визначеної зазначеним</w:t>
      </w:r>
      <w:r w:rsidR="00417C8D">
        <w:rPr>
          <w:bCs/>
        </w:rPr>
        <w:t xml:space="preserve">/зазначеною </w:t>
      </w:r>
      <w:r w:rsidR="002A2EE5" w:rsidRPr="005337BE">
        <w:rPr>
          <w:bCs/>
        </w:rPr>
        <w:t>банком/філією банку – учасником СЕП.</w:t>
      </w:r>
    </w:p>
    <w:p w:rsidR="002A2EE5" w:rsidRPr="005337BE" w:rsidRDefault="002A2EE5" w:rsidP="002A2EE5">
      <w:pPr>
        <w:shd w:val="clear" w:color="auto" w:fill="FFFFFF"/>
        <w:ind w:right="-1" w:firstLine="567"/>
        <w:rPr>
          <w:color w:val="000000" w:themeColor="text1"/>
        </w:rPr>
      </w:pPr>
      <w:r w:rsidRPr="005337BE">
        <w:rPr>
          <w:color w:val="000000" w:themeColor="text1"/>
        </w:rPr>
        <w:t>Банк – учасник СЕП має надіслати повідомлення до Національного банку засобами системи ЕП не пізніше ніж за три робочих дні до дати включення, виключення або внесення змін до довідника небанківських надавачів платіжних послуг.</w:t>
      </w:r>
      <w:r w:rsidRPr="005337BE">
        <w:t xml:space="preserve">”. </w:t>
      </w:r>
    </w:p>
    <w:p w:rsidR="002A2EE5" w:rsidRDefault="002A2EE5" w:rsidP="00FA508E">
      <w:pPr>
        <w:jc w:val="left"/>
      </w:pPr>
    </w:p>
    <w:sectPr w:rsidR="002A2EE5" w:rsidSect="00CA0177">
      <w:headerReference w:type="default" r:id="rId15"/>
      <w:pgSz w:w="11906" w:h="16838" w:code="9"/>
      <w:pgMar w:top="567" w:right="567" w:bottom="1701"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E16" w:rsidRDefault="00817E16" w:rsidP="00E53CCD">
      <w:r>
        <w:separator/>
      </w:r>
    </w:p>
  </w:endnote>
  <w:endnote w:type="continuationSeparator" w:id="0">
    <w:p w:rsidR="00817E16" w:rsidRDefault="00817E16"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E16" w:rsidRDefault="00817E16" w:rsidP="00E53CCD">
      <w:r>
        <w:separator/>
      </w:r>
    </w:p>
  </w:footnote>
  <w:footnote w:type="continuationSeparator" w:id="0">
    <w:p w:rsidR="00817E16" w:rsidRDefault="00817E16"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D2" w:rsidRDefault="00A144D2">
    <w:pPr>
      <w:pStyle w:val="a5"/>
      <w:jc w:val="center"/>
    </w:pPr>
  </w:p>
  <w:p w:rsidR="00A144D2" w:rsidRDefault="00A144D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447000"/>
      <w:docPartObj>
        <w:docPartGallery w:val="Page Numbers (Top of Page)"/>
        <w:docPartUnique/>
      </w:docPartObj>
    </w:sdtPr>
    <w:sdtEndPr/>
    <w:sdtContent>
      <w:p w:rsidR="00CA0177" w:rsidRDefault="00CA0177">
        <w:pPr>
          <w:pStyle w:val="a5"/>
          <w:jc w:val="center"/>
        </w:pPr>
        <w:r>
          <w:fldChar w:fldCharType="begin"/>
        </w:r>
        <w:r>
          <w:instrText>PAGE   \* MERGEFORMAT</w:instrText>
        </w:r>
        <w:r>
          <w:fldChar w:fldCharType="separate"/>
        </w:r>
        <w:r w:rsidR="0023686E">
          <w:rPr>
            <w:noProof/>
          </w:rPr>
          <w:t>2</w:t>
        </w:r>
        <w:r>
          <w:fldChar w:fldCharType="end"/>
        </w:r>
      </w:p>
    </w:sdtContent>
  </w:sdt>
  <w:p w:rsidR="00CA0177" w:rsidRDefault="00CA017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15:restartNumberingAfterBreak="0">
    <w:nsid w:val="39285FE9"/>
    <w:multiLevelType w:val="hybridMultilevel"/>
    <w:tmpl w:val="C44AF9DE"/>
    <w:lvl w:ilvl="0" w:tplc="E8688256">
      <w:start w:val="1"/>
      <w:numFmt w:val="decimal"/>
      <w:lvlText w:val="%1)"/>
      <w:lvlJc w:val="left"/>
      <w:pPr>
        <w:ind w:left="939" w:hanging="372"/>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AF8"/>
    <w:rsid w:val="000064FA"/>
    <w:rsid w:val="000069AF"/>
    <w:rsid w:val="00015CF3"/>
    <w:rsid w:val="00015FDE"/>
    <w:rsid w:val="00025D05"/>
    <w:rsid w:val="0003331E"/>
    <w:rsid w:val="000342A5"/>
    <w:rsid w:val="0003793C"/>
    <w:rsid w:val="00042218"/>
    <w:rsid w:val="00051F0A"/>
    <w:rsid w:val="000537AD"/>
    <w:rsid w:val="000543C6"/>
    <w:rsid w:val="000600A8"/>
    <w:rsid w:val="00061C52"/>
    <w:rsid w:val="00063480"/>
    <w:rsid w:val="000638F2"/>
    <w:rsid w:val="00084B95"/>
    <w:rsid w:val="000907D1"/>
    <w:rsid w:val="000A0AAB"/>
    <w:rsid w:val="000B2990"/>
    <w:rsid w:val="000D04D7"/>
    <w:rsid w:val="000D778F"/>
    <w:rsid w:val="000E0CB3"/>
    <w:rsid w:val="000E5B8C"/>
    <w:rsid w:val="000E7A13"/>
    <w:rsid w:val="000F083C"/>
    <w:rsid w:val="000F086E"/>
    <w:rsid w:val="00105F7C"/>
    <w:rsid w:val="00106229"/>
    <w:rsid w:val="00115ECF"/>
    <w:rsid w:val="001230AA"/>
    <w:rsid w:val="00124452"/>
    <w:rsid w:val="0014026A"/>
    <w:rsid w:val="00154A02"/>
    <w:rsid w:val="001627D9"/>
    <w:rsid w:val="001631E2"/>
    <w:rsid w:val="001716B0"/>
    <w:rsid w:val="001740C0"/>
    <w:rsid w:val="00181CC1"/>
    <w:rsid w:val="00190E1A"/>
    <w:rsid w:val="001A0EE5"/>
    <w:rsid w:val="001A16FA"/>
    <w:rsid w:val="001A4CB9"/>
    <w:rsid w:val="001A6795"/>
    <w:rsid w:val="001C206C"/>
    <w:rsid w:val="001D487A"/>
    <w:rsid w:val="001E6570"/>
    <w:rsid w:val="002127F3"/>
    <w:rsid w:val="002238D1"/>
    <w:rsid w:val="0022588D"/>
    <w:rsid w:val="002267DD"/>
    <w:rsid w:val="00233F37"/>
    <w:rsid w:val="0023686E"/>
    <w:rsid w:val="00241373"/>
    <w:rsid w:val="00253BF9"/>
    <w:rsid w:val="00264983"/>
    <w:rsid w:val="00266678"/>
    <w:rsid w:val="00270419"/>
    <w:rsid w:val="00270588"/>
    <w:rsid w:val="00276988"/>
    <w:rsid w:val="00280DCC"/>
    <w:rsid w:val="00285DDA"/>
    <w:rsid w:val="00290169"/>
    <w:rsid w:val="002A2391"/>
    <w:rsid w:val="002A2EE5"/>
    <w:rsid w:val="002B351E"/>
    <w:rsid w:val="002B3F71"/>
    <w:rsid w:val="002B582B"/>
    <w:rsid w:val="002C1FDB"/>
    <w:rsid w:val="002C3C09"/>
    <w:rsid w:val="002D1790"/>
    <w:rsid w:val="002D33D6"/>
    <w:rsid w:val="002E649C"/>
    <w:rsid w:val="002E6AF8"/>
    <w:rsid w:val="002F48EF"/>
    <w:rsid w:val="002F7FE9"/>
    <w:rsid w:val="00332701"/>
    <w:rsid w:val="00340D07"/>
    <w:rsid w:val="00345982"/>
    <w:rsid w:val="00356E34"/>
    <w:rsid w:val="00357676"/>
    <w:rsid w:val="00382B5C"/>
    <w:rsid w:val="0038385E"/>
    <w:rsid w:val="00384F65"/>
    <w:rsid w:val="003853DA"/>
    <w:rsid w:val="003944B7"/>
    <w:rsid w:val="0039725C"/>
    <w:rsid w:val="003A16E7"/>
    <w:rsid w:val="003A751F"/>
    <w:rsid w:val="003B075F"/>
    <w:rsid w:val="003C3282"/>
    <w:rsid w:val="003C3985"/>
    <w:rsid w:val="003D6B33"/>
    <w:rsid w:val="003F0441"/>
    <w:rsid w:val="003F28B5"/>
    <w:rsid w:val="003F7093"/>
    <w:rsid w:val="00401EDB"/>
    <w:rsid w:val="00404C93"/>
    <w:rsid w:val="00407877"/>
    <w:rsid w:val="004130B9"/>
    <w:rsid w:val="00414B66"/>
    <w:rsid w:val="0041763F"/>
    <w:rsid w:val="00417B18"/>
    <w:rsid w:val="00417C8D"/>
    <w:rsid w:val="004215D7"/>
    <w:rsid w:val="004302DC"/>
    <w:rsid w:val="00433694"/>
    <w:rsid w:val="0044292C"/>
    <w:rsid w:val="00446704"/>
    <w:rsid w:val="00446BBA"/>
    <w:rsid w:val="004475C9"/>
    <w:rsid w:val="00455B45"/>
    <w:rsid w:val="00460BA2"/>
    <w:rsid w:val="004666D6"/>
    <w:rsid w:val="004A1CFC"/>
    <w:rsid w:val="004A276C"/>
    <w:rsid w:val="004A7F75"/>
    <w:rsid w:val="004B1FE9"/>
    <w:rsid w:val="004B2CE5"/>
    <w:rsid w:val="004B5574"/>
    <w:rsid w:val="004B64BD"/>
    <w:rsid w:val="004C55C1"/>
    <w:rsid w:val="004D2B57"/>
    <w:rsid w:val="004E22E2"/>
    <w:rsid w:val="00503EB1"/>
    <w:rsid w:val="0050563F"/>
    <w:rsid w:val="00506383"/>
    <w:rsid w:val="00507B41"/>
    <w:rsid w:val="005212A1"/>
    <w:rsid w:val="005212C5"/>
    <w:rsid w:val="005232D5"/>
    <w:rsid w:val="00523C13"/>
    <w:rsid w:val="00524F07"/>
    <w:rsid w:val="005257C2"/>
    <w:rsid w:val="00532633"/>
    <w:rsid w:val="005337BE"/>
    <w:rsid w:val="005403F1"/>
    <w:rsid w:val="00542533"/>
    <w:rsid w:val="005624B6"/>
    <w:rsid w:val="00562B8D"/>
    <w:rsid w:val="00562C46"/>
    <w:rsid w:val="0057237F"/>
    <w:rsid w:val="00577402"/>
    <w:rsid w:val="005822CB"/>
    <w:rsid w:val="00587D02"/>
    <w:rsid w:val="00597AB6"/>
    <w:rsid w:val="005A0F4B"/>
    <w:rsid w:val="005A1D3C"/>
    <w:rsid w:val="005A3F34"/>
    <w:rsid w:val="005B24CA"/>
    <w:rsid w:val="005B2D03"/>
    <w:rsid w:val="005B71E1"/>
    <w:rsid w:val="005C1CB4"/>
    <w:rsid w:val="005C32C4"/>
    <w:rsid w:val="005C5CBF"/>
    <w:rsid w:val="005D3B88"/>
    <w:rsid w:val="005D45F5"/>
    <w:rsid w:val="005E3FA8"/>
    <w:rsid w:val="005F0766"/>
    <w:rsid w:val="005F4CB4"/>
    <w:rsid w:val="005F6129"/>
    <w:rsid w:val="005F6B35"/>
    <w:rsid w:val="00621E41"/>
    <w:rsid w:val="00640612"/>
    <w:rsid w:val="006416F1"/>
    <w:rsid w:val="0064227D"/>
    <w:rsid w:val="0065179F"/>
    <w:rsid w:val="00657593"/>
    <w:rsid w:val="00664CA1"/>
    <w:rsid w:val="00670C95"/>
    <w:rsid w:val="006775A6"/>
    <w:rsid w:val="00681090"/>
    <w:rsid w:val="006925CE"/>
    <w:rsid w:val="00692C8C"/>
    <w:rsid w:val="006A435C"/>
    <w:rsid w:val="006B2748"/>
    <w:rsid w:val="006B465F"/>
    <w:rsid w:val="006C0435"/>
    <w:rsid w:val="006C06A1"/>
    <w:rsid w:val="006C0F22"/>
    <w:rsid w:val="006C13B1"/>
    <w:rsid w:val="006C4176"/>
    <w:rsid w:val="006C66EF"/>
    <w:rsid w:val="006D2617"/>
    <w:rsid w:val="006E4A79"/>
    <w:rsid w:val="006E5BF2"/>
    <w:rsid w:val="00700AA3"/>
    <w:rsid w:val="007142BA"/>
    <w:rsid w:val="00714823"/>
    <w:rsid w:val="00717197"/>
    <w:rsid w:val="0071789F"/>
    <w:rsid w:val="00730088"/>
    <w:rsid w:val="007349C8"/>
    <w:rsid w:val="00745A0F"/>
    <w:rsid w:val="00747222"/>
    <w:rsid w:val="00750898"/>
    <w:rsid w:val="00754EBA"/>
    <w:rsid w:val="00763AFF"/>
    <w:rsid w:val="00771DF8"/>
    <w:rsid w:val="00773559"/>
    <w:rsid w:val="00776E17"/>
    <w:rsid w:val="00780EBD"/>
    <w:rsid w:val="0078127A"/>
    <w:rsid w:val="00783AF2"/>
    <w:rsid w:val="0078677B"/>
    <w:rsid w:val="00787E46"/>
    <w:rsid w:val="007A65C4"/>
    <w:rsid w:val="007A6609"/>
    <w:rsid w:val="007B7B73"/>
    <w:rsid w:val="007C2CED"/>
    <w:rsid w:val="007F16F3"/>
    <w:rsid w:val="007F22B4"/>
    <w:rsid w:val="007F4074"/>
    <w:rsid w:val="007F6F04"/>
    <w:rsid w:val="00802988"/>
    <w:rsid w:val="0080565A"/>
    <w:rsid w:val="00812ED0"/>
    <w:rsid w:val="00814F30"/>
    <w:rsid w:val="00816811"/>
    <w:rsid w:val="00817E16"/>
    <w:rsid w:val="00833D98"/>
    <w:rsid w:val="008415A0"/>
    <w:rsid w:val="0084655B"/>
    <w:rsid w:val="00852665"/>
    <w:rsid w:val="0085364B"/>
    <w:rsid w:val="00854884"/>
    <w:rsid w:val="00863613"/>
    <w:rsid w:val="00866993"/>
    <w:rsid w:val="008674DC"/>
    <w:rsid w:val="00874366"/>
    <w:rsid w:val="0087450A"/>
    <w:rsid w:val="008762D8"/>
    <w:rsid w:val="0087766D"/>
    <w:rsid w:val="00891BE0"/>
    <w:rsid w:val="00897035"/>
    <w:rsid w:val="008B1589"/>
    <w:rsid w:val="008B74DD"/>
    <w:rsid w:val="008C2091"/>
    <w:rsid w:val="008C72B5"/>
    <w:rsid w:val="008D10FD"/>
    <w:rsid w:val="008D122F"/>
    <w:rsid w:val="008D5F60"/>
    <w:rsid w:val="008D727F"/>
    <w:rsid w:val="008F0210"/>
    <w:rsid w:val="008F2600"/>
    <w:rsid w:val="008F2E5B"/>
    <w:rsid w:val="008F55A4"/>
    <w:rsid w:val="008F5D52"/>
    <w:rsid w:val="00904F17"/>
    <w:rsid w:val="00922966"/>
    <w:rsid w:val="00923563"/>
    <w:rsid w:val="0092710A"/>
    <w:rsid w:val="00935734"/>
    <w:rsid w:val="00937AE3"/>
    <w:rsid w:val="00937D24"/>
    <w:rsid w:val="00943175"/>
    <w:rsid w:val="0095741D"/>
    <w:rsid w:val="00964B21"/>
    <w:rsid w:val="0097288F"/>
    <w:rsid w:val="0098207E"/>
    <w:rsid w:val="00990AAE"/>
    <w:rsid w:val="00994774"/>
    <w:rsid w:val="009A20DA"/>
    <w:rsid w:val="009B6120"/>
    <w:rsid w:val="009B7CE4"/>
    <w:rsid w:val="009C2F76"/>
    <w:rsid w:val="009C62CC"/>
    <w:rsid w:val="009D1294"/>
    <w:rsid w:val="009E752D"/>
    <w:rsid w:val="009F5312"/>
    <w:rsid w:val="00A02AEC"/>
    <w:rsid w:val="00A0594A"/>
    <w:rsid w:val="00A12C47"/>
    <w:rsid w:val="00A13508"/>
    <w:rsid w:val="00A144D2"/>
    <w:rsid w:val="00A23E04"/>
    <w:rsid w:val="00A322C6"/>
    <w:rsid w:val="00A46C15"/>
    <w:rsid w:val="00A50DC0"/>
    <w:rsid w:val="00A6053F"/>
    <w:rsid w:val="00A63695"/>
    <w:rsid w:val="00A67ED9"/>
    <w:rsid w:val="00A72F06"/>
    <w:rsid w:val="00A730F2"/>
    <w:rsid w:val="00A77FFD"/>
    <w:rsid w:val="00A939F0"/>
    <w:rsid w:val="00AB4554"/>
    <w:rsid w:val="00AC2EF3"/>
    <w:rsid w:val="00AC47B6"/>
    <w:rsid w:val="00AD2A59"/>
    <w:rsid w:val="00AD67FE"/>
    <w:rsid w:val="00AD7DF9"/>
    <w:rsid w:val="00AE29BB"/>
    <w:rsid w:val="00AE2CAF"/>
    <w:rsid w:val="00AE3FC9"/>
    <w:rsid w:val="00AF33D9"/>
    <w:rsid w:val="00B002E4"/>
    <w:rsid w:val="00B12C27"/>
    <w:rsid w:val="00B1520E"/>
    <w:rsid w:val="00B332B2"/>
    <w:rsid w:val="00B34CCC"/>
    <w:rsid w:val="00B36EC7"/>
    <w:rsid w:val="00B36EDD"/>
    <w:rsid w:val="00B61C97"/>
    <w:rsid w:val="00B61E48"/>
    <w:rsid w:val="00B628C5"/>
    <w:rsid w:val="00B64664"/>
    <w:rsid w:val="00B71933"/>
    <w:rsid w:val="00B8078D"/>
    <w:rsid w:val="00B91047"/>
    <w:rsid w:val="00B918EC"/>
    <w:rsid w:val="00B92A21"/>
    <w:rsid w:val="00BB0F8C"/>
    <w:rsid w:val="00BD12A3"/>
    <w:rsid w:val="00BD6D34"/>
    <w:rsid w:val="00BD7F6E"/>
    <w:rsid w:val="00BE0755"/>
    <w:rsid w:val="00BE10F4"/>
    <w:rsid w:val="00BE3088"/>
    <w:rsid w:val="00BE5A6B"/>
    <w:rsid w:val="00BE6B95"/>
    <w:rsid w:val="00BE7B9A"/>
    <w:rsid w:val="00BF47B0"/>
    <w:rsid w:val="00BF5327"/>
    <w:rsid w:val="00C21D33"/>
    <w:rsid w:val="00C3382F"/>
    <w:rsid w:val="00C42AC6"/>
    <w:rsid w:val="00C4377C"/>
    <w:rsid w:val="00C47F0F"/>
    <w:rsid w:val="00C51D84"/>
    <w:rsid w:val="00C52506"/>
    <w:rsid w:val="00C5385E"/>
    <w:rsid w:val="00C82259"/>
    <w:rsid w:val="00C91412"/>
    <w:rsid w:val="00C9297C"/>
    <w:rsid w:val="00C94014"/>
    <w:rsid w:val="00C96077"/>
    <w:rsid w:val="00CA0177"/>
    <w:rsid w:val="00CB0A10"/>
    <w:rsid w:val="00CB0A99"/>
    <w:rsid w:val="00CB5A09"/>
    <w:rsid w:val="00CD0CD4"/>
    <w:rsid w:val="00CE3B9F"/>
    <w:rsid w:val="00CF1FB8"/>
    <w:rsid w:val="00CF2C65"/>
    <w:rsid w:val="00CF4774"/>
    <w:rsid w:val="00D02E60"/>
    <w:rsid w:val="00D06B64"/>
    <w:rsid w:val="00D078B6"/>
    <w:rsid w:val="00D07E36"/>
    <w:rsid w:val="00D1022C"/>
    <w:rsid w:val="00D27115"/>
    <w:rsid w:val="00D33C6C"/>
    <w:rsid w:val="00D34DCC"/>
    <w:rsid w:val="00D3662F"/>
    <w:rsid w:val="00D56097"/>
    <w:rsid w:val="00D61D9B"/>
    <w:rsid w:val="00D62377"/>
    <w:rsid w:val="00D65B10"/>
    <w:rsid w:val="00D859EA"/>
    <w:rsid w:val="00DA0068"/>
    <w:rsid w:val="00DA2F09"/>
    <w:rsid w:val="00DB4F3D"/>
    <w:rsid w:val="00DC1E60"/>
    <w:rsid w:val="00DC6F28"/>
    <w:rsid w:val="00DD60CC"/>
    <w:rsid w:val="00DD7D24"/>
    <w:rsid w:val="00DE2CE0"/>
    <w:rsid w:val="00DE3DF2"/>
    <w:rsid w:val="00DF4D12"/>
    <w:rsid w:val="00DF738C"/>
    <w:rsid w:val="00E10AE2"/>
    <w:rsid w:val="00E10F0A"/>
    <w:rsid w:val="00E21875"/>
    <w:rsid w:val="00E23346"/>
    <w:rsid w:val="00E24328"/>
    <w:rsid w:val="00E25407"/>
    <w:rsid w:val="00E307B1"/>
    <w:rsid w:val="00E32599"/>
    <w:rsid w:val="00E33B0E"/>
    <w:rsid w:val="00E42621"/>
    <w:rsid w:val="00E446A6"/>
    <w:rsid w:val="00E53CB5"/>
    <w:rsid w:val="00E53CCD"/>
    <w:rsid w:val="00E62607"/>
    <w:rsid w:val="00E71855"/>
    <w:rsid w:val="00E719A9"/>
    <w:rsid w:val="00E83E03"/>
    <w:rsid w:val="00E87D7A"/>
    <w:rsid w:val="00E9652F"/>
    <w:rsid w:val="00E967BB"/>
    <w:rsid w:val="00EA1DE4"/>
    <w:rsid w:val="00EA39A7"/>
    <w:rsid w:val="00EA5A35"/>
    <w:rsid w:val="00EA60EA"/>
    <w:rsid w:val="00EB29BF"/>
    <w:rsid w:val="00EC0566"/>
    <w:rsid w:val="00EC2602"/>
    <w:rsid w:val="00EC7C7F"/>
    <w:rsid w:val="00ED65EF"/>
    <w:rsid w:val="00ED7BE2"/>
    <w:rsid w:val="00EF4B42"/>
    <w:rsid w:val="00F003D3"/>
    <w:rsid w:val="00F008AB"/>
    <w:rsid w:val="00F03E32"/>
    <w:rsid w:val="00F05926"/>
    <w:rsid w:val="00F2176A"/>
    <w:rsid w:val="00F42289"/>
    <w:rsid w:val="00F42E75"/>
    <w:rsid w:val="00F45D65"/>
    <w:rsid w:val="00F46DC2"/>
    <w:rsid w:val="00F517FA"/>
    <w:rsid w:val="00F52D16"/>
    <w:rsid w:val="00F62D67"/>
    <w:rsid w:val="00F63BD9"/>
    <w:rsid w:val="00F6694C"/>
    <w:rsid w:val="00F70EE6"/>
    <w:rsid w:val="00F8145F"/>
    <w:rsid w:val="00F82E22"/>
    <w:rsid w:val="00F900BC"/>
    <w:rsid w:val="00F91D8D"/>
    <w:rsid w:val="00F9283D"/>
    <w:rsid w:val="00F969E8"/>
    <w:rsid w:val="00F96F18"/>
    <w:rsid w:val="00FA2B53"/>
    <w:rsid w:val="00FA508E"/>
    <w:rsid w:val="00FA5320"/>
    <w:rsid w:val="00FA5C53"/>
    <w:rsid w:val="00FA5CE8"/>
    <w:rsid w:val="00FA7846"/>
    <w:rsid w:val="00FB25A9"/>
    <w:rsid w:val="00FC26E5"/>
    <w:rsid w:val="00FC61C3"/>
    <w:rsid w:val="00FD19F1"/>
    <w:rsid w:val="00FD3252"/>
    <w:rsid w:val="00FD370F"/>
    <w:rsid w:val="00FD6484"/>
    <w:rsid w:val="00FE0B90"/>
    <w:rsid w:val="00FF4048"/>
    <w:rsid w:val="00FF4C41"/>
    <w:rsid w:val="00FF4E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96F006"/>
  <w15:docId w15:val="{B4365393-14E8-462B-A4FF-D0640E80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aliases w:val="Bullets"/>
    <w:basedOn w:val="a"/>
    <w:link w:val="af4"/>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customStyle="1" w:styleId="af4">
    <w:name w:val="Абзац списку Знак"/>
    <w:aliases w:val="Bullets Знак"/>
    <w:link w:val="af3"/>
    <w:uiPriority w:val="34"/>
    <w:locked/>
    <w:rsid w:val="00A144D2"/>
    <w:rPr>
      <w:rFonts w:ascii="Times New Roman" w:hAnsi="Times New Roman" w:cs="Times New Roman"/>
      <w:sz w:val="28"/>
      <w:szCs w:val="28"/>
      <w:lang w:eastAsia="uk-UA"/>
    </w:rPr>
  </w:style>
  <w:style w:type="paragraph" w:styleId="af5">
    <w:name w:val="Normal (Web)"/>
    <w:aliases w:val="Обычный (Web)"/>
    <w:basedOn w:val="a"/>
    <w:link w:val="af6"/>
    <w:uiPriority w:val="99"/>
    <w:unhideWhenUsed/>
    <w:rsid w:val="00A144D2"/>
    <w:pPr>
      <w:spacing w:before="100" w:beforeAutospacing="1" w:after="100" w:afterAutospacing="1"/>
      <w:jc w:val="left"/>
    </w:pPr>
    <w:rPr>
      <w:rFonts w:eastAsiaTheme="minorEastAsia"/>
      <w:sz w:val="24"/>
      <w:szCs w:val="24"/>
    </w:rPr>
  </w:style>
  <w:style w:type="character" w:customStyle="1" w:styleId="af6">
    <w:name w:val="Звичайний (веб) Знак"/>
    <w:aliases w:val="Обычный (Web) Знак"/>
    <w:link w:val="af5"/>
    <w:uiPriority w:val="99"/>
    <w:locked/>
    <w:rsid w:val="00A144D2"/>
    <w:rPr>
      <w:rFonts w:ascii="Times New Roman" w:eastAsiaTheme="minorEastAsia" w:hAnsi="Times New Roman" w:cs="Times New Roman"/>
      <w:sz w:val="24"/>
      <w:szCs w:val="24"/>
      <w:lang w:eastAsia="uk-UA"/>
    </w:rPr>
  </w:style>
  <w:style w:type="character" w:styleId="af7">
    <w:name w:val="annotation reference"/>
    <w:basedOn w:val="a0"/>
    <w:uiPriority w:val="99"/>
    <w:semiHidden/>
    <w:unhideWhenUsed/>
    <w:rsid w:val="00B91047"/>
    <w:rPr>
      <w:sz w:val="16"/>
      <w:szCs w:val="16"/>
    </w:rPr>
  </w:style>
  <w:style w:type="paragraph" w:styleId="af8">
    <w:name w:val="annotation text"/>
    <w:basedOn w:val="a"/>
    <w:link w:val="af9"/>
    <w:uiPriority w:val="99"/>
    <w:unhideWhenUsed/>
    <w:rsid w:val="00B91047"/>
    <w:rPr>
      <w:sz w:val="20"/>
      <w:szCs w:val="20"/>
    </w:rPr>
  </w:style>
  <w:style w:type="character" w:customStyle="1" w:styleId="af9">
    <w:name w:val="Текст примітки Знак"/>
    <w:basedOn w:val="a0"/>
    <w:link w:val="af8"/>
    <w:uiPriority w:val="99"/>
    <w:rsid w:val="00B91047"/>
    <w:rPr>
      <w:rFonts w:ascii="Times New Roman" w:hAnsi="Times New Roman" w:cs="Times New Roman"/>
      <w:sz w:val="20"/>
      <w:szCs w:val="20"/>
      <w:lang w:eastAsia="uk-UA"/>
    </w:rPr>
  </w:style>
  <w:style w:type="paragraph" w:styleId="afa">
    <w:name w:val="annotation subject"/>
    <w:basedOn w:val="af8"/>
    <w:next w:val="af8"/>
    <w:link w:val="afb"/>
    <w:uiPriority w:val="99"/>
    <w:semiHidden/>
    <w:unhideWhenUsed/>
    <w:rsid w:val="00B91047"/>
    <w:rPr>
      <w:b/>
      <w:bCs/>
    </w:rPr>
  </w:style>
  <w:style w:type="character" w:customStyle="1" w:styleId="afb">
    <w:name w:val="Тема примітки Знак"/>
    <w:basedOn w:val="af9"/>
    <w:link w:val="afa"/>
    <w:uiPriority w:val="99"/>
    <w:semiHidden/>
    <w:rsid w:val="00B91047"/>
    <w:rPr>
      <w:rFonts w:ascii="Times New Roman" w:hAnsi="Times New Roman" w:cs="Times New Roman"/>
      <w:b/>
      <w:bCs/>
      <w:sz w:val="20"/>
      <w:szCs w:val="20"/>
      <w:lang w:eastAsia="uk-UA"/>
    </w:rPr>
  </w:style>
  <w:style w:type="paragraph" w:styleId="afc">
    <w:name w:val="Revision"/>
    <w:hidden/>
    <w:uiPriority w:val="99"/>
    <w:semiHidden/>
    <w:rsid w:val="00417C8D"/>
    <w:pPr>
      <w:spacing w:after="0" w:line="240" w:lineRule="auto"/>
    </w:pPr>
    <w:rPr>
      <w:rFonts w:ascii="Times New Roman" w:hAnsi="Times New Roman" w:cs="Times New Roman"/>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15B42C271E0B049815FD8E33D57FEA4" ma:contentTypeVersion="0" ma:contentTypeDescription="Створення нового документа." ma:contentTypeScope="" ma:versionID="e6bc4c0a5eeb7de707db2efa278dc590">
  <xsd:schema xmlns:xsd="http://www.w3.org/2001/XMLSchema" xmlns:xs="http://www.w3.org/2001/XMLSchema" xmlns:p="http://schemas.microsoft.com/office/2006/metadata/properties" targetNamespace="http://schemas.microsoft.com/office/2006/metadata/properties" ma:root="true" ma:fieldsID="0b2383c722297b57df307b58b6a1f5b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F8B644-291A-41A7-A1F9-C9BEF5B2F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5.xml><?xml version="1.0" encoding="utf-8"?>
<ds:datastoreItem xmlns:ds="http://schemas.openxmlformats.org/officeDocument/2006/customXml" ds:itemID="{9A087FE7-C4B1-4E52-A9CE-A7B10F0F7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3688</Words>
  <Characters>2103</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Ненюк Анна Миколаївна</dc:creator>
  <cp:lastModifiedBy>Кобець Лілія Олександрівна</cp:lastModifiedBy>
  <cp:revision>7</cp:revision>
  <cp:lastPrinted>2020-10-27T15:45:00Z</cp:lastPrinted>
  <dcterms:created xsi:type="dcterms:W3CDTF">2024-03-22T10:51:00Z</dcterms:created>
  <dcterms:modified xsi:type="dcterms:W3CDTF">2024-03-28T06:28:00Z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0x010100715B42C271E0B049815FD8E33D57FEA4</vt:lpwstr>
  </property>
</Properties>
</file>