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759"/>
        <w:gridCol w:w="3827"/>
      </w:tblGrid>
      <w:tr w:rsidR="00D11C26" w:rsidRPr="00D11C26" w14:paraId="69606D98" w14:textId="77777777" w:rsidTr="003704EC">
        <w:trPr>
          <w:trHeight w:val="851"/>
        </w:trPr>
        <w:tc>
          <w:tcPr>
            <w:tcW w:w="3195" w:type="dxa"/>
          </w:tcPr>
          <w:p w14:paraId="2D4F2385" w14:textId="77777777" w:rsidR="00D11C26" w:rsidRPr="00D11C26" w:rsidRDefault="00D11C26" w:rsidP="003C4606"/>
        </w:tc>
        <w:tc>
          <w:tcPr>
            <w:tcW w:w="2759" w:type="dxa"/>
            <w:vMerge w:val="restart"/>
          </w:tcPr>
          <w:p w14:paraId="5012830D" w14:textId="77777777" w:rsidR="00D11C26" w:rsidRPr="00D11C26" w:rsidRDefault="00D11C26" w:rsidP="003704EC">
            <w:pPr>
              <w:ind w:left="528"/>
              <w:jc w:val="center"/>
            </w:pPr>
            <w:r w:rsidRPr="00D11C26">
              <w:object w:dxaOrig="1595" w:dyaOrig="2201" w14:anchorId="7C5A3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48pt" o:ole="">
                  <v:imagedata r:id="rId7" o:title=""/>
                </v:shape>
                <o:OLEObject Type="Embed" ProgID="CorelDraw.Graphic.16" ShapeID="_x0000_i1025" DrawAspect="Content" ObjectID="_1723294970" r:id="rId8"/>
              </w:object>
            </w:r>
          </w:p>
        </w:tc>
        <w:tc>
          <w:tcPr>
            <w:tcW w:w="3827" w:type="dxa"/>
          </w:tcPr>
          <w:p w14:paraId="713A6C7A" w14:textId="06E429A4" w:rsidR="00D11C26" w:rsidRPr="003704EC" w:rsidRDefault="003704EC" w:rsidP="003704EC">
            <w:pPr>
              <w:ind w:left="-248"/>
              <w:jc w:val="right"/>
              <w:rPr>
                <w:sz w:val="24"/>
                <w:szCs w:val="24"/>
              </w:rPr>
            </w:pPr>
            <w:r>
              <w:rPr>
                <w:sz w:val="24"/>
                <w:szCs w:val="24"/>
              </w:rPr>
              <w:t>Офіційно опубліковано 30.08.2022</w:t>
            </w:r>
          </w:p>
        </w:tc>
      </w:tr>
      <w:tr w:rsidR="00D11C26" w:rsidRPr="00D11C26" w14:paraId="783D4B63" w14:textId="77777777" w:rsidTr="003704EC">
        <w:tc>
          <w:tcPr>
            <w:tcW w:w="3195" w:type="dxa"/>
          </w:tcPr>
          <w:p w14:paraId="33594200" w14:textId="77777777" w:rsidR="00D11C26" w:rsidRPr="00D11C26" w:rsidRDefault="00D11C26" w:rsidP="003C4606"/>
        </w:tc>
        <w:tc>
          <w:tcPr>
            <w:tcW w:w="2759" w:type="dxa"/>
            <w:vMerge/>
          </w:tcPr>
          <w:p w14:paraId="0245D56B" w14:textId="77777777" w:rsidR="00D11C26" w:rsidRPr="00D11C26" w:rsidRDefault="00D11C26" w:rsidP="003C4606"/>
        </w:tc>
        <w:tc>
          <w:tcPr>
            <w:tcW w:w="3827" w:type="dxa"/>
          </w:tcPr>
          <w:p w14:paraId="4C190E10" w14:textId="77777777" w:rsidR="00D11C26" w:rsidRPr="00D11C26" w:rsidRDefault="00D11C26" w:rsidP="003C4606"/>
        </w:tc>
      </w:tr>
    </w:tbl>
    <w:tbl>
      <w:tblPr>
        <w:tblW w:w="9639" w:type="dxa"/>
        <w:tblLook w:val="04A0" w:firstRow="1" w:lastRow="0" w:firstColumn="1" w:lastColumn="0" w:noHBand="0" w:noVBand="1"/>
      </w:tblPr>
      <w:tblGrid>
        <w:gridCol w:w="3508"/>
        <w:gridCol w:w="2687"/>
        <w:gridCol w:w="1709"/>
        <w:gridCol w:w="1735"/>
      </w:tblGrid>
      <w:tr w:rsidR="00D11C26" w:rsidRPr="00D11C26" w14:paraId="0BB55CB7" w14:textId="77777777" w:rsidTr="003C4606">
        <w:tc>
          <w:tcPr>
            <w:tcW w:w="9639" w:type="dxa"/>
            <w:gridSpan w:val="4"/>
            <w:tcBorders>
              <w:top w:val="nil"/>
              <w:left w:val="nil"/>
              <w:bottom w:val="nil"/>
              <w:right w:val="nil"/>
            </w:tcBorders>
            <w:shd w:val="clear" w:color="auto" w:fill="auto"/>
          </w:tcPr>
          <w:p w14:paraId="6282020F" w14:textId="77777777" w:rsidR="00D11C26" w:rsidRPr="00D11C26" w:rsidRDefault="00D11C26" w:rsidP="003C4606">
            <w:pPr>
              <w:tabs>
                <w:tab w:val="left" w:pos="-3600"/>
              </w:tabs>
              <w:jc w:val="center"/>
            </w:pPr>
            <w:r w:rsidRPr="00D11C26">
              <w:rPr>
                <w:b/>
                <w:bCs/>
                <w:color w:val="006600"/>
                <w:spacing w:val="10"/>
              </w:rPr>
              <w:t>Правління Національного банку України</w:t>
            </w:r>
          </w:p>
          <w:p w14:paraId="3095E546" w14:textId="77777777" w:rsidR="00D11C26" w:rsidRPr="00D11C26" w:rsidRDefault="00D11C26" w:rsidP="003C4606">
            <w:pPr>
              <w:tabs>
                <w:tab w:val="left" w:pos="-3600"/>
              </w:tabs>
              <w:jc w:val="center"/>
              <w:rPr>
                <w:b/>
                <w:bCs/>
                <w:color w:val="006600"/>
                <w:spacing w:val="10"/>
              </w:rPr>
            </w:pPr>
          </w:p>
          <w:p w14:paraId="01897085" w14:textId="77777777" w:rsidR="00D11C26" w:rsidRPr="00D11C26" w:rsidRDefault="00D11C26" w:rsidP="003C4606">
            <w:pPr>
              <w:jc w:val="center"/>
            </w:pPr>
            <w:r w:rsidRPr="00D11C26">
              <w:rPr>
                <w:b/>
                <w:bCs/>
                <w:color w:val="006600"/>
              </w:rPr>
              <w:t>П О С Т А Н О В А</w:t>
            </w:r>
          </w:p>
          <w:p w14:paraId="10AE59BD" w14:textId="77777777" w:rsidR="00D11C26" w:rsidRPr="00D11C26" w:rsidRDefault="00D11C26" w:rsidP="003C4606">
            <w:pPr>
              <w:jc w:val="center"/>
              <w:rPr>
                <w:b/>
                <w:bCs/>
                <w:color w:val="006600"/>
              </w:rPr>
            </w:pPr>
          </w:p>
        </w:tc>
      </w:tr>
      <w:tr w:rsidR="00D11C26" w:rsidRPr="00D11C26" w14:paraId="6AAA73A3" w14:textId="77777777" w:rsidTr="003C4606">
        <w:tc>
          <w:tcPr>
            <w:tcW w:w="3508" w:type="dxa"/>
            <w:tcBorders>
              <w:top w:val="nil"/>
              <w:left w:val="nil"/>
              <w:bottom w:val="nil"/>
              <w:right w:val="nil"/>
            </w:tcBorders>
            <w:shd w:val="clear" w:color="auto" w:fill="auto"/>
            <w:vAlign w:val="bottom"/>
          </w:tcPr>
          <w:p w14:paraId="47B2882C" w14:textId="763F17CE" w:rsidR="00D11C26" w:rsidRPr="00D11C26" w:rsidRDefault="003704EC" w:rsidP="003C4606">
            <w:r>
              <w:t>29 серпня 2022 року</w:t>
            </w:r>
          </w:p>
        </w:tc>
        <w:tc>
          <w:tcPr>
            <w:tcW w:w="2687" w:type="dxa"/>
            <w:tcBorders>
              <w:top w:val="nil"/>
              <w:left w:val="nil"/>
              <w:bottom w:val="nil"/>
              <w:right w:val="nil"/>
            </w:tcBorders>
            <w:shd w:val="clear" w:color="auto" w:fill="auto"/>
          </w:tcPr>
          <w:p w14:paraId="271EDE35" w14:textId="77777777" w:rsidR="00D11C26" w:rsidRPr="00D11C26" w:rsidRDefault="00D11C26" w:rsidP="003C4606">
            <w:pPr>
              <w:jc w:val="center"/>
            </w:pPr>
            <w:r w:rsidRPr="00D11C26">
              <w:rPr>
                <w:color w:val="006600"/>
              </w:rPr>
              <w:t>Київ</w:t>
            </w:r>
          </w:p>
        </w:tc>
        <w:tc>
          <w:tcPr>
            <w:tcW w:w="1709" w:type="dxa"/>
            <w:tcBorders>
              <w:top w:val="nil"/>
              <w:left w:val="nil"/>
              <w:bottom w:val="nil"/>
              <w:right w:val="nil"/>
            </w:tcBorders>
            <w:shd w:val="clear" w:color="auto" w:fill="auto"/>
            <w:vAlign w:val="bottom"/>
          </w:tcPr>
          <w:p w14:paraId="663F6DB8" w14:textId="77777777" w:rsidR="00D11C26" w:rsidRPr="00D11C26" w:rsidRDefault="00D11C26" w:rsidP="003C4606">
            <w:pPr>
              <w:jc w:val="right"/>
            </w:pPr>
          </w:p>
        </w:tc>
        <w:tc>
          <w:tcPr>
            <w:tcW w:w="1735" w:type="dxa"/>
            <w:tcBorders>
              <w:top w:val="nil"/>
              <w:left w:val="nil"/>
              <w:bottom w:val="nil"/>
              <w:right w:val="nil"/>
            </w:tcBorders>
            <w:shd w:val="clear" w:color="auto" w:fill="auto"/>
            <w:vAlign w:val="bottom"/>
          </w:tcPr>
          <w:p w14:paraId="2A611D36" w14:textId="19DC8CA3" w:rsidR="00D11C26" w:rsidRPr="00D11C26" w:rsidRDefault="003704EC" w:rsidP="003C4606">
            <w:r>
              <w:t>№ 195</w:t>
            </w:r>
          </w:p>
        </w:tc>
      </w:tr>
    </w:tbl>
    <w:p w14:paraId="282317F2" w14:textId="77777777" w:rsidR="00D11C26" w:rsidRPr="00D11C26" w:rsidRDefault="00D11C26" w:rsidP="00D11C26"/>
    <w:tbl>
      <w:tblPr>
        <w:tblStyle w:val="a6"/>
        <w:tblW w:w="28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2"/>
      </w:tblGrid>
      <w:tr w:rsidR="00A324A0" w:rsidRPr="00A324A0" w14:paraId="72BACCA3" w14:textId="77777777" w:rsidTr="003C4606">
        <w:trPr>
          <w:trHeight w:val="1136"/>
          <w:jc w:val="center"/>
        </w:trPr>
        <w:tc>
          <w:tcPr>
            <w:tcW w:w="5000" w:type="pct"/>
          </w:tcPr>
          <w:p w14:paraId="655A6FAF" w14:textId="77777777" w:rsidR="00D11C26" w:rsidRPr="00A324A0" w:rsidRDefault="00D11C26" w:rsidP="003C4606">
            <w:pPr>
              <w:ind w:firstLine="142"/>
              <w:jc w:val="center"/>
              <w:rPr>
                <w:color w:val="000000" w:themeColor="text1"/>
              </w:rPr>
            </w:pPr>
            <w:r w:rsidRPr="00A324A0">
              <w:rPr>
                <w:color w:val="000000" w:themeColor="text1"/>
              </w:rPr>
              <w:t xml:space="preserve">Про внесення змін до постанови Правління Національного банку України </w:t>
            </w:r>
          </w:p>
          <w:p w14:paraId="597B856F" w14:textId="77777777" w:rsidR="00D11C26" w:rsidRPr="00A324A0" w:rsidRDefault="00D11C26" w:rsidP="003C4606">
            <w:pPr>
              <w:tabs>
                <w:tab w:val="left" w:pos="840"/>
                <w:tab w:val="center" w:pos="3293"/>
              </w:tabs>
              <w:spacing w:after="240"/>
              <w:jc w:val="center"/>
              <w:rPr>
                <w:rFonts w:eastAsiaTheme="minorEastAsia"/>
                <w:color w:val="000000" w:themeColor="text1"/>
              </w:rPr>
            </w:pPr>
            <w:r w:rsidRPr="00A324A0">
              <w:rPr>
                <w:color w:val="000000" w:themeColor="text1"/>
              </w:rPr>
              <w:t>від 06 березня 2022 року № 39</w:t>
            </w:r>
            <w:r w:rsidRPr="00A324A0">
              <w:rPr>
                <w:rFonts w:eastAsiaTheme="minorEastAsia"/>
                <w:color w:val="000000" w:themeColor="text1"/>
              </w:rPr>
              <w:t xml:space="preserve"> </w:t>
            </w:r>
          </w:p>
        </w:tc>
      </w:tr>
    </w:tbl>
    <w:p w14:paraId="034976D7" w14:textId="7B43AF96" w:rsidR="00D11C26" w:rsidRPr="00A324A0" w:rsidRDefault="00D11C26" w:rsidP="003C34F1">
      <w:pPr>
        <w:spacing w:before="240" w:after="240"/>
        <w:ind w:firstLine="709"/>
        <w:rPr>
          <w:b/>
          <w:color w:val="000000" w:themeColor="text1"/>
        </w:rPr>
      </w:pPr>
      <w:r w:rsidRPr="00A324A0">
        <w:rPr>
          <w:rFonts w:eastAsiaTheme="minorEastAsia"/>
          <w:color w:val="000000" w:themeColor="text1"/>
          <w:lang w:eastAsia="en-US"/>
        </w:rPr>
        <w:t>Відповідно до статей 7, 15, 55</w:t>
      </w:r>
      <w:r w:rsidRPr="00A324A0">
        <w:rPr>
          <w:rFonts w:eastAsiaTheme="minorEastAsia"/>
          <w:color w:val="000000" w:themeColor="text1"/>
          <w:vertAlign w:val="superscript"/>
          <w:lang w:eastAsia="en-US"/>
        </w:rPr>
        <w:t>1</w:t>
      </w:r>
      <w:r w:rsidRPr="00A324A0">
        <w:rPr>
          <w:rFonts w:eastAsiaTheme="minorEastAsia"/>
          <w:color w:val="000000" w:themeColor="text1"/>
          <w:lang w:eastAsia="en-US"/>
        </w:rPr>
        <w:t>, 56 Закону України “Про Національний банк України”, статей 19, 21, 28 Закону України “Про фінансові послуги та державне регулювання ринків фінансових послуг”, Закону України від 27 липня 2022 року № 2463-IX “</w:t>
      </w:r>
      <w:r w:rsidRPr="00A324A0">
        <w:rPr>
          <w:color w:val="000000" w:themeColor="text1"/>
        </w:rPr>
        <w:t>П</w:t>
      </w:r>
      <w:r w:rsidRPr="00A324A0">
        <w:rPr>
          <w:rFonts w:eastAsiaTheme="minorEastAsia"/>
          <w:color w:val="000000" w:themeColor="text1"/>
          <w:lang w:eastAsia="en-US"/>
        </w:rPr>
        <w:t xml:space="preserve">ро внесення змін до деяких законодавчих актів України щодо особливостей діяльності фінансового сектору у зв’язку із введенням воєнного стану в Україні”, </w:t>
      </w:r>
      <w:r w:rsidRPr="00A324A0">
        <w:rPr>
          <w:rFonts w:eastAsiaTheme="minorEastAsia"/>
          <w:color w:val="000000" w:themeColor="text1"/>
        </w:rPr>
        <w:t xml:space="preserve">Указу Президента України від 24 лютого 2022 року № 64/2022 </w:t>
      </w:r>
      <w:r w:rsidRPr="00A324A0">
        <w:rPr>
          <w:rFonts w:eastAsiaTheme="minorEastAsia"/>
          <w:color w:val="000000" w:themeColor="text1"/>
          <w:lang w:eastAsia="en-US"/>
        </w:rPr>
        <w:t xml:space="preserve">“Про введення воєнного стану в Україні”, затвердженого Законом України від 24 лютого 2022 року № 2102-ІХ </w:t>
      </w:r>
      <w:r w:rsidR="0044423D" w:rsidRPr="00A324A0">
        <w:rPr>
          <w:rFonts w:eastAsiaTheme="minorEastAsia"/>
          <w:color w:val="000000" w:themeColor="text1"/>
          <w:lang w:eastAsia="en-US"/>
        </w:rPr>
        <w:t>«</w:t>
      </w:r>
      <w:r w:rsidRPr="00A324A0">
        <w:rPr>
          <w:rFonts w:eastAsiaTheme="minorEastAsia"/>
          <w:color w:val="000000" w:themeColor="text1"/>
          <w:lang w:eastAsia="en-US"/>
        </w:rPr>
        <w:t>Про затвердження Указу Президента України “Про введення воєнного стану в Україні”</w:t>
      </w:r>
      <w:r w:rsidR="0044423D" w:rsidRPr="00A324A0">
        <w:rPr>
          <w:rFonts w:eastAsiaTheme="minorEastAsia"/>
          <w:color w:val="000000" w:themeColor="text1"/>
          <w:lang w:eastAsia="en-US"/>
        </w:rPr>
        <w:t>»</w:t>
      </w:r>
      <w:r w:rsidRPr="00A324A0">
        <w:rPr>
          <w:rFonts w:eastAsiaTheme="minorEastAsia"/>
          <w:color w:val="000000" w:themeColor="text1"/>
          <w:lang w:eastAsia="en-US"/>
        </w:rPr>
        <w:t xml:space="preserve">, з метою забезпечення безпеки та фінансової стабільності фінансової системи, запобігання кризовим явищам у період запровадження воєнного стану в Україні </w:t>
      </w:r>
      <w:r w:rsidRPr="00A324A0">
        <w:rPr>
          <w:color w:val="000000" w:themeColor="text1"/>
        </w:rPr>
        <w:t>Правління Національного банку України</w:t>
      </w:r>
      <w:r w:rsidRPr="00A324A0">
        <w:rPr>
          <w:b/>
          <w:color w:val="000000" w:themeColor="text1"/>
        </w:rPr>
        <w:t xml:space="preserve"> постановляє:</w:t>
      </w:r>
    </w:p>
    <w:p w14:paraId="3460BFB1" w14:textId="6D59ACB9" w:rsidR="00D11C26" w:rsidRPr="00A324A0" w:rsidRDefault="00D11C26" w:rsidP="003C34F1">
      <w:pPr>
        <w:pStyle w:val="a5"/>
        <w:spacing w:before="240" w:after="240"/>
        <w:ind w:left="0" w:firstLine="709"/>
        <w:rPr>
          <w:color w:val="000000" w:themeColor="text1"/>
        </w:rPr>
      </w:pPr>
      <w:r w:rsidRPr="00A324A0">
        <w:rPr>
          <w:color w:val="000000" w:themeColor="text1"/>
        </w:rPr>
        <w:t xml:space="preserve">1. Унести до </w:t>
      </w:r>
      <w:r w:rsidRPr="00A324A0">
        <w:rPr>
          <w:rFonts w:eastAsiaTheme="minorEastAsia"/>
          <w:color w:val="000000" w:themeColor="text1"/>
        </w:rPr>
        <w:t xml:space="preserve">постанови Правління </w:t>
      </w:r>
      <w:r w:rsidRPr="00A324A0">
        <w:rPr>
          <w:color w:val="000000" w:themeColor="text1"/>
        </w:rPr>
        <w:t xml:space="preserve">Національного банку України </w:t>
      </w:r>
      <w:r w:rsidRPr="00A324A0">
        <w:rPr>
          <w:rFonts w:eastAsiaTheme="minorEastAsia"/>
          <w:color w:val="000000" w:themeColor="text1"/>
        </w:rPr>
        <w:t xml:space="preserve">від 06 березня 2022 року № 39 </w:t>
      </w:r>
      <w:r w:rsidRPr="00A324A0">
        <w:rPr>
          <w:rFonts w:eastAsiaTheme="minorEastAsia"/>
          <w:color w:val="000000" w:themeColor="text1"/>
          <w:lang w:eastAsia="en-US"/>
        </w:rPr>
        <w:t>“</w:t>
      </w:r>
      <w:r w:rsidR="00531853" w:rsidRPr="00A324A0">
        <w:rPr>
          <w:rFonts w:eastAsiaTheme="minorEastAsia"/>
          <w:color w:val="000000" w:themeColor="text1"/>
          <w:lang w:eastAsia="en-US"/>
        </w:rPr>
        <w:t>Про врегулювання діяльності учасників ринку небанківських фінансових послуг, небанківських фінансових груп, учасників платіжного ринку, колекторських компаній та юридичних осіб, які отримали ліцензію на надання банкам послуг з інкасації</w:t>
      </w:r>
      <w:r w:rsidRPr="00A324A0">
        <w:rPr>
          <w:rFonts w:eastAsiaTheme="minorEastAsia"/>
          <w:color w:val="000000" w:themeColor="text1"/>
          <w:lang w:eastAsia="en-US"/>
        </w:rPr>
        <w:t>” (зі змінами) такі зміни:</w:t>
      </w:r>
    </w:p>
    <w:p w14:paraId="5D82514C" w14:textId="706F2D5A" w:rsidR="00D11C26" w:rsidRPr="00A324A0" w:rsidRDefault="00D11C26" w:rsidP="003C34F1">
      <w:pPr>
        <w:ind w:firstLine="709"/>
        <w:rPr>
          <w:color w:val="000000" w:themeColor="text1"/>
        </w:rPr>
      </w:pPr>
      <w:r w:rsidRPr="00A324A0">
        <w:rPr>
          <w:color w:val="000000" w:themeColor="text1"/>
        </w:rPr>
        <w:t>1)</w:t>
      </w:r>
      <w:r w:rsidR="00522501" w:rsidRPr="00A324A0">
        <w:rPr>
          <w:color w:val="000000" w:themeColor="text1"/>
        </w:rPr>
        <w:t xml:space="preserve"> </w:t>
      </w:r>
      <w:r w:rsidRPr="00A324A0">
        <w:rPr>
          <w:color w:val="000000" w:themeColor="text1"/>
        </w:rPr>
        <w:t>пункт 2</w:t>
      </w:r>
      <w:r w:rsidR="00522501" w:rsidRPr="00A324A0">
        <w:rPr>
          <w:color w:val="000000" w:themeColor="text1"/>
        </w:rPr>
        <w:t xml:space="preserve"> </w:t>
      </w:r>
      <w:r w:rsidRPr="00A324A0">
        <w:rPr>
          <w:color w:val="000000" w:themeColor="text1"/>
        </w:rPr>
        <w:t>викласти в такій редакції:</w:t>
      </w:r>
    </w:p>
    <w:p w14:paraId="4D52E4C4" w14:textId="047BCBA4" w:rsidR="00F5336E" w:rsidRPr="00A324A0" w:rsidRDefault="00D11C26" w:rsidP="003C34F1">
      <w:pPr>
        <w:pStyle w:val="rvps2"/>
        <w:shd w:val="clear" w:color="auto" w:fill="FFFFFF"/>
        <w:spacing w:before="0" w:beforeAutospacing="0" w:after="0" w:afterAutospacing="0"/>
        <w:ind w:firstLine="709"/>
        <w:jc w:val="both"/>
        <w:rPr>
          <w:color w:val="000000" w:themeColor="text1"/>
          <w:sz w:val="28"/>
          <w:szCs w:val="28"/>
        </w:rPr>
      </w:pPr>
      <w:r w:rsidRPr="00A324A0">
        <w:rPr>
          <w:color w:val="000000" w:themeColor="text1"/>
          <w:sz w:val="28"/>
          <w:szCs w:val="28"/>
        </w:rPr>
        <w:t>“</w:t>
      </w:r>
      <w:r w:rsidR="00522501" w:rsidRPr="00A324A0">
        <w:rPr>
          <w:color w:val="000000" w:themeColor="text1"/>
          <w:sz w:val="28"/>
          <w:szCs w:val="28"/>
        </w:rPr>
        <w:t>2.</w:t>
      </w:r>
      <w:r w:rsidR="00F5336E" w:rsidRPr="00A324A0">
        <w:rPr>
          <w:color w:val="000000" w:themeColor="text1"/>
          <w:sz w:val="28"/>
          <w:szCs w:val="28"/>
        </w:rPr>
        <w:t xml:space="preserve"> Національний банк не застосовує до осіб, зазначених у пункті 1 цієї постанови, заходів впливу за:</w:t>
      </w:r>
    </w:p>
    <w:p w14:paraId="001F19EF" w14:textId="4438A317" w:rsidR="00F5336E" w:rsidRPr="00A324A0" w:rsidRDefault="00F5336E" w:rsidP="003C34F1">
      <w:pPr>
        <w:pStyle w:val="rvps2"/>
        <w:shd w:val="clear" w:color="auto" w:fill="FFFFFF"/>
        <w:spacing w:before="240" w:beforeAutospacing="0" w:after="240" w:afterAutospacing="0"/>
        <w:ind w:firstLine="709"/>
        <w:jc w:val="both"/>
        <w:rPr>
          <w:color w:val="000000" w:themeColor="text1"/>
          <w:sz w:val="28"/>
          <w:szCs w:val="28"/>
        </w:rPr>
      </w:pPr>
      <w:r w:rsidRPr="00A324A0">
        <w:rPr>
          <w:color w:val="000000" w:themeColor="text1"/>
          <w:sz w:val="28"/>
          <w:szCs w:val="28"/>
        </w:rPr>
        <w:t xml:space="preserve">1) неподання звітності, установленої Правилами складання та подання звітності учасниками ринку небанківських фінансових послуг до Національного банку України, затвердженими постановою Правління Національного банку України від 25 листопада 2021 року № 123 (далі – Правила № 123), а також іншої інформації та/або документів, яку/які станом на день набрання чинності Законом України від 27 липня 2022 року № 2463-IX “Про внесення змін до деяких </w:t>
      </w:r>
      <w:r w:rsidRPr="00A324A0">
        <w:rPr>
          <w:color w:val="000000" w:themeColor="text1"/>
          <w:sz w:val="28"/>
          <w:szCs w:val="28"/>
        </w:rPr>
        <w:lastRenderedPageBreak/>
        <w:t>законодавчих актів України щодо особливостей діяльності фінансового сектору у зв’язку із введенням воєнного стану в Україні” (далі – Закон) ці особи зобов’язані були подати до Національного банку відповідно до вимог</w:t>
      </w:r>
      <w:r w:rsidR="006B0AC3" w:rsidRPr="00A324A0">
        <w:rPr>
          <w:color w:val="000000" w:themeColor="text1"/>
          <w:sz w:val="28"/>
          <w:szCs w:val="28"/>
        </w:rPr>
        <w:t>,</w:t>
      </w:r>
      <w:r w:rsidRPr="00A324A0">
        <w:rPr>
          <w:color w:val="000000" w:themeColor="text1"/>
          <w:sz w:val="28"/>
          <w:szCs w:val="28"/>
        </w:rPr>
        <w:t xml:space="preserve"> </w:t>
      </w:r>
      <w:r w:rsidR="006B0AC3" w:rsidRPr="00A324A0">
        <w:rPr>
          <w:color w:val="000000" w:themeColor="text1"/>
          <w:sz w:val="28"/>
          <w:szCs w:val="28"/>
        </w:rPr>
        <w:t>у</w:t>
      </w:r>
      <w:r w:rsidRPr="00A324A0">
        <w:rPr>
          <w:color w:val="000000" w:themeColor="text1"/>
          <w:sz w:val="28"/>
          <w:szCs w:val="28"/>
        </w:rPr>
        <w:t xml:space="preserve">становлених законодавством України, </w:t>
      </w:r>
      <w:r w:rsidR="006B0AC3" w:rsidRPr="00A324A0">
        <w:rPr>
          <w:color w:val="000000" w:themeColor="text1"/>
          <w:sz w:val="28"/>
          <w:szCs w:val="28"/>
        </w:rPr>
        <w:t>у</w:t>
      </w:r>
      <w:r w:rsidRPr="00A324A0">
        <w:rPr>
          <w:color w:val="000000" w:themeColor="text1"/>
          <w:sz w:val="28"/>
          <w:szCs w:val="28"/>
        </w:rPr>
        <w:t xml:space="preserve">ключаючи подання інформації та/або документів на запит або вимогу Національного банку, строк надання якої/яких не сплинув на дату набрання чинності Законом, за умови, що такі порушення усунені протягом 60 календарних днів із дня набрання чинності Законом або допущені особами, місцезнаходженням яких є населені пункти територіальних громад, уключені до переліку територіальних громад, що розташовані в районі проведення воєнних (бойових) дій або перебувають у тимчасовій окупації, оточенні (блокуванні), що формується в порядку, установленому Кабінетом Міністрів України (далі – Перелік), у період перебування територіальної громади в Переліку та протягом трьох місяців після її виключення з Переліку; </w:t>
      </w:r>
    </w:p>
    <w:p w14:paraId="44329A6D" w14:textId="77777777" w:rsidR="00F5336E" w:rsidRPr="00A324A0" w:rsidRDefault="00F5336E" w:rsidP="003C34F1">
      <w:pPr>
        <w:tabs>
          <w:tab w:val="left" w:pos="1134"/>
        </w:tabs>
        <w:spacing w:before="240" w:after="240"/>
        <w:ind w:firstLine="709"/>
        <w:rPr>
          <w:color w:val="000000" w:themeColor="text1"/>
        </w:rPr>
      </w:pPr>
      <w:r w:rsidRPr="00A324A0">
        <w:rPr>
          <w:color w:val="000000" w:themeColor="text1"/>
        </w:rPr>
        <w:t>2) порушення строків подання фінансової звітності та консолідованої фінансової звітності за 2021 рік, проміжної фінансової звітності та проміжної консолідованої фінансової звітності за 2022 рік, складених на основі таксономії фінансової звітності за міжнародними стандартами в єдиному електронному форматі, до центру збору фінансової звітності, операційне управління яким здійснює Національна комісія з цінних паперів та фондового ринку;</w:t>
      </w:r>
    </w:p>
    <w:p w14:paraId="645B0EB4" w14:textId="65CD53EA" w:rsidR="00F5336E" w:rsidRPr="00A324A0" w:rsidRDefault="00F5336E" w:rsidP="003C34F1">
      <w:pPr>
        <w:pStyle w:val="rvps2"/>
        <w:shd w:val="clear" w:color="auto" w:fill="FFFFFF"/>
        <w:spacing w:before="240" w:beforeAutospacing="0" w:after="240" w:afterAutospacing="0"/>
        <w:ind w:firstLine="709"/>
        <w:jc w:val="both"/>
        <w:rPr>
          <w:color w:val="000000" w:themeColor="text1"/>
          <w:sz w:val="28"/>
          <w:szCs w:val="28"/>
        </w:rPr>
      </w:pPr>
      <w:r w:rsidRPr="00A324A0">
        <w:rPr>
          <w:color w:val="000000" w:themeColor="text1"/>
          <w:sz w:val="28"/>
          <w:szCs w:val="28"/>
        </w:rPr>
        <w:t>3) порушення вимоги щодо наявності власного капіталу, визначеної в пункті 16</w:t>
      </w:r>
      <w:r w:rsidR="00751562" w:rsidRPr="00A324A0">
        <w:rPr>
          <w:color w:val="000000" w:themeColor="text1"/>
          <w:sz w:val="28"/>
          <w:szCs w:val="28"/>
        </w:rPr>
        <w:t>2</w:t>
      </w:r>
      <w:r w:rsidRPr="00A324A0">
        <w:rPr>
          <w:color w:val="000000" w:themeColor="text1"/>
          <w:sz w:val="28"/>
          <w:szCs w:val="28"/>
        </w:rPr>
        <w:t xml:space="preserve"> розділу II Положення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від 24 грудня 2021 року № 153 (далі – Положення про ліцензування та реєстрацію)</w:t>
      </w:r>
      <w:r w:rsidR="006B0AC3" w:rsidRPr="00A324A0">
        <w:rPr>
          <w:color w:val="000000" w:themeColor="text1"/>
          <w:sz w:val="28"/>
          <w:szCs w:val="28"/>
        </w:rPr>
        <w:t>,</w:t>
      </w:r>
      <w:r w:rsidRPr="00A324A0">
        <w:rPr>
          <w:color w:val="000000" w:themeColor="text1"/>
          <w:sz w:val="28"/>
          <w:szCs w:val="28"/>
        </w:rPr>
        <w:t xml:space="preserve"> за умови, що такі порушення були допущені особами, місцезнаходженням яких є населені пункти територіальних громад, уключені до Переліку, у період перебування територіальної громади в Переліку та протягом трьох місяців після її виключення з Переліку;</w:t>
      </w:r>
    </w:p>
    <w:p w14:paraId="49AD7B1A" w14:textId="06044E07" w:rsidR="00F5336E" w:rsidRPr="00A324A0" w:rsidRDefault="00F5336E" w:rsidP="003C34F1">
      <w:pPr>
        <w:tabs>
          <w:tab w:val="left" w:pos="1134"/>
        </w:tabs>
        <w:spacing w:before="240" w:after="240"/>
        <w:ind w:firstLine="709"/>
        <w:rPr>
          <w:color w:val="000000" w:themeColor="text1"/>
        </w:rPr>
      </w:pPr>
      <w:r w:rsidRPr="00A324A0">
        <w:rPr>
          <w:color w:val="000000" w:themeColor="text1"/>
        </w:rPr>
        <w:t>4) порушення вимог щодо подання до Національного банку документів та інформації, передбачених Положенням про ліцензування та реєстрацію за умови, що такі порушення допущені до 1</w:t>
      </w:r>
      <w:r w:rsidR="006730E9" w:rsidRPr="00A324A0">
        <w:rPr>
          <w:color w:val="000000" w:themeColor="text1"/>
        </w:rPr>
        <w:t>7</w:t>
      </w:r>
      <w:r w:rsidRPr="00A324A0">
        <w:rPr>
          <w:color w:val="000000" w:themeColor="text1"/>
        </w:rPr>
        <w:t xml:space="preserve"> серпня 2022 року та усунені протягом 60 календарних днів </w:t>
      </w:r>
      <w:r w:rsidR="006B0AC3" w:rsidRPr="00A324A0">
        <w:rPr>
          <w:color w:val="000000" w:themeColor="text1"/>
        </w:rPr>
        <w:t>і</w:t>
      </w:r>
      <w:r w:rsidRPr="00A324A0">
        <w:rPr>
          <w:color w:val="000000" w:themeColor="text1"/>
        </w:rPr>
        <w:t>з цієї дати або допущені після 1</w:t>
      </w:r>
      <w:r w:rsidR="006730E9" w:rsidRPr="00A324A0">
        <w:rPr>
          <w:color w:val="000000" w:themeColor="text1"/>
        </w:rPr>
        <w:t>7</w:t>
      </w:r>
      <w:r w:rsidRPr="00A324A0">
        <w:rPr>
          <w:color w:val="000000" w:themeColor="text1"/>
        </w:rPr>
        <w:t xml:space="preserve"> серпня 2022 року особами, місцезнаходженням яких є населені пункти територіальних громад, уключені до Переліку, у період перебування територіальної громади в такому Переліку та протягом трьох місяців після її виключення з Переліку;</w:t>
      </w:r>
    </w:p>
    <w:p w14:paraId="5FADB96E" w14:textId="12BD0CE8" w:rsidR="00D11C26" w:rsidRPr="00A324A0" w:rsidRDefault="00F5336E" w:rsidP="003C34F1">
      <w:pPr>
        <w:tabs>
          <w:tab w:val="left" w:pos="1134"/>
        </w:tabs>
        <w:spacing w:after="240"/>
        <w:ind w:firstLine="709"/>
        <w:rPr>
          <w:color w:val="000000" w:themeColor="text1"/>
        </w:rPr>
      </w:pPr>
      <w:r w:rsidRPr="00A324A0">
        <w:rPr>
          <w:color w:val="000000" w:themeColor="text1"/>
        </w:rPr>
        <w:t xml:space="preserve">5) порушення вимог щодо подання до Національного банку документів та інформації, передбачених нормативно-правовими актами Національного банку, зазначеними в додатку до цієї постанови [крім Положення про порядок видачі небанківським фінансовим установам, операторам поштового зв’язку ліцензій на </w:t>
      </w:r>
      <w:r w:rsidRPr="00A324A0">
        <w:rPr>
          <w:color w:val="000000" w:themeColor="text1"/>
        </w:rPr>
        <w:lastRenderedPageBreak/>
        <w:t>здійснення валютних операцій, затвердженого постановою Правління Національного банку України від 09 серпня 2002 року № 297, зареєстрованого в Міністерстві юстиції України 29 серпня 2002 року за № 712/7000 (зі змінами), та Положення про порядок видачі ліцензії на торгівлю валютними цінностями, затвердженого постановою Правління Національного банку України від 26 березня 2021 року № 26]</w:t>
      </w:r>
      <w:r w:rsidR="006B0AC3" w:rsidRPr="00A324A0">
        <w:rPr>
          <w:color w:val="000000" w:themeColor="text1"/>
        </w:rPr>
        <w:t>,</w:t>
      </w:r>
      <w:r w:rsidRPr="00A324A0">
        <w:rPr>
          <w:color w:val="000000" w:themeColor="text1"/>
        </w:rPr>
        <w:t xml:space="preserve"> за умови, що такі порушення допущені до 1</w:t>
      </w:r>
      <w:r w:rsidR="006730E9" w:rsidRPr="00A324A0">
        <w:rPr>
          <w:color w:val="000000" w:themeColor="text1"/>
        </w:rPr>
        <w:t>7</w:t>
      </w:r>
      <w:r w:rsidRPr="00A324A0">
        <w:rPr>
          <w:color w:val="000000" w:themeColor="text1"/>
        </w:rPr>
        <w:t xml:space="preserve"> серпня 2022 року та усунені протягом 60 календарних днів із цієї дати або допущені після 1</w:t>
      </w:r>
      <w:r w:rsidR="006730E9" w:rsidRPr="00A324A0">
        <w:rPr>
          <w:color w:val="000000" w:themeColor="text1"/>
        </w:rPr>
        <w:t>7</w:t>
      </w:r>
      <w:r w:rsidRPr="00A324A0">
        <w:rPr>
          <w:color w:val="000000" w:themeColor="text1"/>
        </w:rPr>
        <w:t xml:space="preserve"> серпня 2022 року особами, місцезнаходженням яких є населені пункти територіальних громад, уключені до Переліку, у період перебування територіальної громади в такому Переліку та протягом трьох місяців після її виключення з Переліку.”;</w:t>
      </w:r>
    </w:p>
    <w:p w14:paraId="26AF97D7" w14:textId="77777777" w:rsidR="00D11C26" w:rsidRPr="00A324A0" w:rsidRDefault="00D11C26" w:rsidP="003C34F1">
      <w:pPr>
        <w:spacing w:before="240"/>
        <w:ind w:firstLine="709"/>
        <w:rPr>
          <w:bCs/>
          <w:color w:val="000000" w:themeColor="text1"/>
        </w:rPr>
      </w:pPr>
      <w:r w:rsidRPr="00A324A0">
        <w:rPr>
          <w:bCs/>
          <w:color w:val="000000" w:themeColor="text1"/>
        </w:rPr>
        <w:t>2) у пункті 11 слова та цифру “на яку поширюються вимоги пункту 5 цієї постанови” замінити словами та цифрами “</w:t>
      </w:r>
      <w:r w:rsidRPr="00A324A0">
        <w:rPr>
          <w:color w:val="000000" w:themeColor="text1"/>
          <w:shd w:val="clear" w:color="auto" w:fill="FFFFFF"/>
        </w:rPr>
        <w:t>яка отримала ліцензію на провадження господарської діяльності з надання гарантій та допустила порушення обов’язкових фінансових нормативів та вимог, що обмежують ризики за операціями з фінансовими активами, установлених Положенням про обов’язкові фінансові нормативи та вимоги, що обмежують ризики за операціями з фінансовими активами фінансових установ, що отримали ліцензію на здійснення господарської діяльності з надання гарантій та поручительств, затвердженим розпорядженням Національної комісії, що здійснює державне регулювання у сфері ринків фінансових послуг, від 30 травня 2019 року № 980, зареєстрованим у Міністерстві юстиції України 15 жовтня 2019 року за № 1113/34084</w:t>
      </w:r>
      <w:r w:rsidRPr="00A324A0">
        <w:rPr>
          <w:bCs/>
          <w:color w:val="000000" w:themeColor="text1"/>
        </w:rPr>
        <w:t>”;</w:t>
      </w:r>
    </w:p>
    <w:p w14:paraId="3960D5A4" w14:textId="540A8606" w:rsidR="00D11C26" w:rsidRPr="00A324A0" w:rsidRDefault="00D11C26" w:rsidP="003C34F1">
      <w:pPr>
        <w:spacing w:before="240"/>
        <w:ind w:firstLine="709"/>
        <w:rPr>
          <w:bCs/>
          <w:color w:val="000000" w:themeColor="text1"/>
        </w:rPr>
      </w:pPr>
      <w:r w:rsidRPr="00A324A0">
        <w:rPr>
          <w:bCs/>
          <w:color w:val="000000" w:themeColor="text1"/>
        </w:rPr>
        <w:t xml:space="preserve">3) у пункті 12 </w:t>
      </w:r>
      <w:r w:rsidR="00740B9B" w:rsidRPr="00A324A0">
        <w:rPr>
          <w:bCs/>
          <w:color w:val="000000" w:themeColor="text1"/>
        </w:rPr>
        <w:t xml:space="preserve">слова та </w:t>
      </w:r>
      <w:r w:rsidRPr="00A324A0">
        <w:rPr>
          <w:bCs/>
          <w:color w:val="000000" w:themeColor="text1"/>
        </w:rPr>
        <w:t>цифри “</w:t>
      </w:r>
      <w:r w:rsidR="00740B9B" w:rsidRPr="00A324A0">
        <w:rPr>
          <w:color w:val="000000" w:themeColor="text1"/>
        </w:rPr>
        <w:t>та/або якщо надана інформація не забезпечує доведення того, що порушення, зазначені в пунктах 2–6 цієї постанови, спричинені негативним впливом наслідків військової агресії Російської Федерації на діяльність особи, зазначеної в пункті 1 цієї постанови, та/або її боржників/контрагентів</w:t>
      </w:r>
      <w:r w:rsidRPr="00A324A0">
        <w:rPr>
          <w:bCs/>
          <w:color w:val="000000" w:themeColor="text1"/>
        </w:rPr>
        <w:t xml:space="preserve">” </w:t>
      </w:r>
      <w:r w:rsidR="00740B9B" w:rsidRPr="00A324A0">
        <w:rPr>
          <w:bCs/>
          <w:color w:val="000000" w:themeColor="text1"/>
        </w:rPr>
        <w:t>виключити</w:t>
      </w:r>
      <w:r w:rsidR="00FB6380" w:rsidRPr="00A324A0">
        <w:rPr>
          <w:bCs/>
          <w:color w:val="000000" w:themeColor="text1"/>
        </w:rPr>
        <w:t>;</w:t>
      </w:r>
    </w:p>
    <w:p w14:paraId="55898CAB" w14:textId="14EE51BA" w:rsidR="00FB6380" w:rsidRPr="00A324A0" w:rsidRDefault="00FB6380" w:rsidP="003C34F1">
      <w:pPr>
        <w:spacing w:before="240"/>
        <w:ind w:firstLine="709"/>
        <w:rPr>
          <w:bCs/>
          <w:color w:val="000000" w:themeColor="text1"/>
        </w:rPr>
      </w:pPr>
      <w:r w:rsidRPr="00A324A0">
        <w:rPr>
          <w:bCs/>
          <w:color w:val="000000" w:themeColor="text1"/>
        </w:rPr>
        <w:t xml:space="preserve">4) у </w:t>
      </w:r>
      <w:r w:rsidR="00C27B7B">
        <w:rPr>
          <w:bCs/>
          <w:color w:val="000000" w:themeColor="text1"/>
        </w:rPr>
        <w:t xml:space="preserve">другому та третьому реченнях </w:t>
      </w:r>
      <w:r w:rsidRPr="00A324A0">
        <w:rPr>
          <w:bCs/>
          <w:color w:val="000000" w:themeColor="text1"/>
        </w:rPr>
        <w:t>підпункт</w:t>
      </w:r>
      <w:r w:rsidR="00C27B7B">
        <w:rPr>
          <w:bCs/>
          <w:color w:val="000000" w:themeColor="text1"/>
        </w:rPr>
        <w:t xml:space="preserve">у </w:t>
      </w:r>
      <w:r w:rsidRPr="00A324A0">
        <w:rPr>
          <w:bCs/>
          <w:color w:val="000000" w:themeColor="text1"/>
        </w:rPr>
        <w:t>3</w:t>
      </w:r>
      <w:r w:rsidR="00C27B7B">
        <w:rPr>
          <w:bCs/>
          <w:color w:val="000000" w:themeColor="text1"/>
        </w:rPr>
        <w:t xml:space="preserve"> та підпункті </w:t>
      </w:r>
      <w:r w:rsidRPr="00A324A0">
        <w:rPr>
          <w:bCs/>
          <w:color w:val="000000" w:themeColor="text1"/>
        </w:rPr>
        <w:t xml:space="preserve">5 пункту 18 цифри </w:t>
      </w:r>
      <w:r w:rsidRPr="00A324A0">
        <w:rPr>
          <w:bCs/>
          <w:color w:val="000000" w:themeColor="text1"/>
          <w:lang w:val="ru-RU"/>
        </w:rPr>
        <w:t>“</w:t>
      </w:r>
      <w:r w:rsidRPr="00A324A0">
        <w:rPr>
          <w:bCs/>
          <w:color w:val="000000" w:themeColor="text1"/>
        </w:rPr>
        <w:t>15</w:t>
      </w:r>
      <w:r w:rsidRPr="00A324A0">
        <w:rPr>
          <w:bCs/>
          <w:color w:val="000000" w:themeColor="text1"/>
          <w:lang w:val="ru-RU"/>
        </w:rPr>
        <w:t xml:space="preserve">” </w:t>
      </w:r>
      <w:r w:rsidRPr="00A324A0">
        <w:rPr>
          <w:bCs/>
          <w:color w:val="000000" w:themeColor="text1"/>
        </w:rPr>
        <w:t xml:space="preserve">замінити цифрами </w:t>
      </w:r>
      <w:r w:rsidRPr="00A324A0">
        <w:rPr>
          <w:bCs/>
          <w:color w:val="000000" w:themeColor="text1"/>
          <w:lang w:val="ru-RU"/>
        </w:rPr>
        <w:t>“</w:t>
      </w:r>
      <w:r w:rsidRPr="00A324A0">
        <w:rPr>
          <w:bCs/>
          <w:color w:val="000000" w:themeColor="text1"/>
        </w:rPr>
        <w:t>17</w:t>
      </w:r>
      <w:r w:rsidRPr="00A324A0">
        <w:rPr>
          <w:bCs/>
          <w:color w:val="000000" w:themeColor="text1"/>
          <w:lang w:val="ru-RU"/>
        </w:rPr>
        <w:t>”</w:t>
      </w:r>
      <w:r w:rsidRPr="00A324A0">
        <w:rPr>
          <w:bCs/>
          <w:color w:val="000000" w:themeColor="text1"/>
        </w:rPr>
        <w:t>;</w:t>
      </w:r>
    </w:p>
    <w:p w14:paraId="4211F466" w14:textId="3D1453D6" w:rsidR="00FB6380" w:rsidRPr="00A324A0" w:rsidRDefault="00FB6380" w:rsidP="003C34F1">
      <w:pPr>
        <w:spacing w:before="240"/>
        <w:ind w:firstLine="709"/>
        <w:rPr>
          <w:bCs/>
          <w:color w:val="000000" w:themeColor="text1"/>
        </w:rPr>
      </w:pPr>
      <w:r w:rsidRPr="00A324A0">
        <w:rPr>
          <w:bCs/>
          <w:color w:val="000000" w:themeColor="text1"/>
        </w:rPr>
        <w:t xml:space="preserve">5) в абзаці другому пункту 20 цифри </w:t>
      </w:r>
      <w:r w:rsidRPr="00A324A0">
        <w:rPr>
          <w:bCs/>
          <w:color w:val="000000" w:themeColor="text1"/>
          <w:lang w:val="ru-RU"/>
        </w:rPr>
        <w:t>“</w:t>
      </w:r>
      <w:r w:rsidRPr="00A324A0">
        <w:rPr>
          <w:bCs/>
          <w:color w:val="000000" w:themeColor="text1"/>
        </w:rPr>
        <w:t>15</w:t>
      </w:r>
      <w:r w:rsidRPr="00A324A0">
        <w:rPr>
          <w:bCs/>
          <w:color w:val="000000" w:themeColor="text1"/>
          <w:lang w:val="ru-RU"/>
        </w:rPr>
        <w:t xml:space="preserve">” </w:t>
      </w:r>
      <w:r w:rsidRPr="00A324A0">
        <w:rPr>
          <w:bCs/>
          <w:color w:val="000000" w:themeColor="text1"/>
        </w:rPr>
        <w:t xml:space="preserve">замінити цифрами </w:t>
      </w:r>
      <w:r w:rsidRPr="00A324A0">
        <w:rPr>
          <w:bCs/>
          <w:color w:val="000000" w:themeColor="text1"/>
          <w:lang w:val="ru-RU"/>
        </w:rPr>
        <w:t>“</w:t>
      </w:r>
      <w:r w:rsidRPr="00A324A0">
        <w:rPr>
          <w:bCs/>
          <w:color w:val="000000" w:themeColor="text1"/>
        </w:rPr>
        <w:t>17</w:t>
      </w:r>
      <w:r w:rsidRPr="00A324A0">
        <w:rPr>
          <w:bCs/>
          <w:color w:val="000000" w:themeColor="text1"/>
          <w:lang w:val="ru-RU"/>
        </w:rPr>
        <w:t>”.</w:t>
      </w:r>
    </w:p>
    <w:p w14:paraId="52F0D9CE" w14:textId="77777777" w:rsidR="00D11C26" w:rsidRPr="00A324A0" w:rsidRDefault="00D11C26" w:rsidP="003C34F1">
      <w:pPr>
        <w:spacing w:before="240"/>
        <w:ind w:firstLine="709"/>
        <w:rPr>
          <w:rFonts w:eastAsiaTheme="minorEastAsia"/>
          <w:color w:val="000000" w:themeColor="text1"/>
        </w:rPr>
      </w:pPr>
      <w:r w:rsidRPr="00A324A0">
        <w:rPr>
          <w:bCs/>
          <w:color w:val="000000" w:themeColor="text1"/>
        </w:rPr>
        <w:t xml:space="preserve">2. </w:t>
      </w:r>
      <w:r w:rsidRPr="00A324A0">
        <w:rPr>
          <w:color w:val="000000" w:themeColor="text1"/>
        </w:rPr>
        <w:t xml:space="preserve">Постанова набирає чинності з дня, наступного за днем її офіційного опублікування. </w:t>
      </w:r>
    </w:p>
    <w:p w14:paraId="7CE09CE2" w14:textId="77777777" w:rsidR="00D11C26" w:rsidRPr="00760886" w:rsidRDefault="00D11C26" w:rsidP="00D11C26">
      <w:pPr>
        <w:tabs>
          <w:tab w:val="left" w:pos="993"/>
        </w:tabs>
        <w:spacing w:after="120"/>
        <w:rPr>
          <w:color w:val="000000" w:themeColor="text1"/>
        </w:rPr>
      </w:pPr>
    </w:p>
    <w:p w14:paraId="4FEF7D44" w14:textId="77777777" w:rsidR="00D11C26" w:rsidRPr="00760886" w:rsidRDefault="00D11C26" w:rsidP="00D11C26">
      <w:pPr>
        <w:tabs>
          <w:tab w:val="left" w:pos="993"/>
        </w:tabs>
        <w:spacing w:after="120"/>
        <w:rPr>
          <w:color w:val="000000" w:themeColor="text1"/>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760886" w:rsidRPr="00760886" w14:paraId="6099C5BB" w14:textId="77777777" w:rsidTr="003C4606">
        <w:tc>
          <w:tcPr>
            <w:tcW w:w="5495" w:type="dxa"/>
            <w:vAlign w:val="bottom"/>
          </w:tcPr>
          <w:p w14:paraId="31A57A96" w14:textId="77777777" w:rsidR="00D11C26" w:rsidRPr="00760886" w:rsidRDefault="00D11C26" w:rsidP="003C4606">
            <w:pPr>
              <w:autoSpaceDE w:val="0"/>
              <w:autoSpaceDN w:val="0"/>
              <w:ind w:hanging="108"/>
              <w:jc w:val="left"/>
              <w:rPr>
                <w:color w:val="000000" w:themeColor="text1"/>
              </w:rPr>
            </w:pPr>
            <w:r w:rsidRPr="00760886">
              <w:rPr>
                <w:color w:val="000000" w:themeColor="text1"/>
              </w:rPr>
              <w:t>Голова</w:t>
            </w:r>
          </w:p>
        </w:tc>
        <w:tc>
          <w:tcPr>
            <w:tcW w:w="4252" w:type="dxa"/>
            <w:vAlign w:val="bottom"/>
          </w:tcPr>
          <w:p w14:paraId="345CA103" w14:textId="77777777" w:rsidR="00D11C26" w:rsidRPr="00760886" w:rsidRDefault="00D11C26" w:rsidP="003C4606">
            <w:pPr>
              <w:tabs>
                <w:tab w:val="left" w:pos="7020"/>
                <w:tab w:val="left" w:pos="7200"/>
              </w:tabs>
              <w:autoSpaceDE w:val="0"/>
              <w:autoSpaceDN w:val="0"/>
              <w:ind w:left="32"/>
              <w:jc w:val="right"/>
              <w:rPr>
                <w:color w:val="000000" w:themeColor="text1"/>
              </w:rPr>
            </w:pPr>
            <w:r w:rsidRPr="00760886">
              <w:rPr>
                <w:color w:val="000000" w:themeColor="text1"/>
              </w:rPr>
              <w:t>Кирило ШЕВЧЕНКО</w:t>
            </w:r>
          </w:p>
        </w:tc>
      </w:tr>
    </w:tbl>
    <w:p w14:paraId="06438861" w14:textId="77777777" w:rsidR="00D11C26" w:rsidRPr="00760886" w:rsidRDefault="00D11C26" w:rsidP="00D11C26">
      <w:pPr>
        <w:tabs>
          <w:tab w:val="left" w:pos="1457"/>
        </w:tabs>
        <w:rPr>
          <w:color w:val="000000" w:themeColor="text1"/>
        </w:rPr>
      </w:pPr>
    </w:p>
    <w:p w14:paraId="1CEA15A6" w14:textId="7D7B93C5" w:rsidR="00B04A57" w:rsidRPr="009E1357" w:rsidRDefault="00D11C26" w:rsidP="001D7C0D">
      <w:pPr>
        <w:tabs>
          <w:tab w:val="left" w:pos="1457"/>
        </w:tabs>
        <w:rPr>
          <w:color w:val="000000" w:themeColor="text1"/>
          <w:lang w:val="en-US"/>
        </w:rPr>
      </w:pPr>
      <w:r w:rsidRPr="00760886">
        <w:rPr>
          <w:color w:val="000000" w:themeColor="text1"/>
        </w:rPr>
        <w:t>Інд. 33</w:t>
      </w:r>
    </w:p>
    <w:sectPr w:rsidR="00B04A57" w:rsidRPr="009E1357" w:rsidSect="003704EC">
      <w:headerReference w:type="default" r:id="rId9"/>
      <w:headerReference w:type="first" r:id="rId10"/>
      <w:pgSz w:w="11906" w:h="16838" w:code="9"/>
      <w:pgMar w:top="567" w:right="567" w:bottom="1985"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F4D0" w14:textId="77777777" w:rsidR="0097598E" w:rsidRDefault="0097598E">
      <w:r>
        <w:separator/>
      </w:r>
    </w:p>
  </w:endnote>
  <w:endnote w:type="continuationSeparator" w:id="0">
    <w:p w14:paraId="1E1D796F" w14:textId="77777777" w:rsidR="0097598E" w:rsidRDefault="0097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98EE" w14:textId="77777777" w:rsidR="0097598E" w:rsidRDefault="0097598E">
      <w:r>
        <w:separator/>
      </w:r>
    </w:p>
  </w:footnote>
  <w:footnote w:type="continuationSeparator" w:id="0">
    <w:p w14:paraId="1D39A6AB" w14:textId="77777777" w:rsidR="0097598E" w:rsidRDefault="00975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617505"/>
      <w:docPartObj>
        <w:docPartGallery w:val="Page Numbers (Top of Page)"/>
        <w:docPartUnique/>
      </w:docPartObj>
    </w:sdtPr>
    <w:sdtContent>
      <w:p w14:paraId="3D6891E5" w14:textId="748C9AE7" w:rsidR="00F77DFD" w:rsidRDefault="002F653A" w:rsidP="00065662">
        <w:pPr>
          <w:pStyle w:val="a4"/>
          <w:jc w:val="center"/>
        </w:pPr>
        <w:r>
          <w:fldChar w:fldCharType="begin"/>
        </w:r>
        <w:r>
          <w:instrText>PAGE</w:instrText>
        </w:r>
        <w:r>
          <w:fldChar w:fldCharType="separate"/>
        </w:r>
        <w:r w:rsidR="00326519">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8347" w14:textId="1A28B8B0" w:rsidR="005D2D7A" w:rsidRDefault="005D2D7A">
    <w:pPr>
      <w:pStyle w:val="a4"/>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26"/>
    <w:rsid w:val="001D7C0D"/>
    <w:rsid w:val="001F3824"/>
    <w:rsid w:val="00200B50"/>
    <w:rsid w:val="0021251D"/>
    <w:rsid w:val="00223F0C"/>
    <w:rsid w:val="00272E82"/>
    <w:rsid w:val="00276220"/>
    <w:rsid w:val="002B0FAA"/>
    <w:rsid w:val="002F653A"/>
    <w:rsid w:val="00326519"/>
    <w:rsid w:val="003704EC"/>
    <w:rsid w:val="00377AB3"/>
    <w:rsid w:val="00395B15"/>
    <w:rsid w:val="003A4B87"/>
    <w:rsid w:val="003C34F1"/>
    <w:rsid w:val="003D51AA"/>
    <w:rsid w:val="0044423D"/>
    <w:rsid w:val="004845A5"/>
    <w:rsid w:val="004F14B9"/>
    <w:rsid w:val="00522501"/>
    <w:rsid w:val="00531853"/>
    <w:rsid w:val="005D2D7A"/>
    <w:rsid w:val="00617BBE"/>
    <w:rsid w:val="006524AC"/>
    <w:rsid w:val="006730E9"/>
    <w:rsid w:val="006B0AC3"/>
    <w:rsid w:val="00740B9B"/>
    <w:rsid w:val="00751562"/>
    <w:rsid w:val="00760886"/>
    <w:rsid w:val="00776ECC"/>
    <w:rsid w:val="0092157B"/>
    <w:rsid w:val="00924465"/>
    <w:rsid w:val="0097598E"/>
    <w:rsid w:val="009E1357"/>
    <w:rsid w:val="00A23825"/>
    <w:rsid w:val="00A324A0"/>
    <w:rsid w:val="00AB7D81"/>
    <w:rsid w:val="00B04A57"/>
    <w:rsid w:val="00B53B35"/>
    <w:rsid w:val="00B720AF"/>
    <w:rsid w:val="00C27B7B"/>
    <w:rsid w:val="00C4208A"/>
    <w:rsid w:val="00C86BC9"/>
    <w:rsid w:val="00D11C26"/>
    <w:rsid w:val="00D45FA5"/>
    <w:rsid w:val="00E455B5"/>
    <w:rsid w:val="00EC382B"/>
    <w:rsid w:val="00F5336E"/>
    <w:rsid w:val="00FB63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A301"/>
  <w15:chartTrackingRefBased/>
  <w15:docId w15:val="{D605DFF8-619D-4C15-B5FC-8FC1A620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C26"/>
    <w:pPr>
      <w:spacing w:after="0" w:line="240" w:lineRule="auto"/>
      <w:jc w:val="both"/>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link w:val="a4"/>
    <w:uiPriority w:val="99"/>
    <w:rsid w:val="00D11C26"/>
    <w:rPr>
      <w:rFonts w:ascii="Times New Roman" w:eastAsia="Times New Roman" w:hAnsi="Times New Roman" w:cs="Times New Roman"/>
      <w:sz w:val="28"/>
      <w:szCs w:val="28"/>
      <w:lang w:eastAsia="uk-UA"/>
    </w:rPr>
  </w:style>
  <w:style w:type="paragraph" w:styleId="a4">
    <w:name w:val="header"/>
    <w:basedOn w:val="a"/>
    <w:link w:val="a3"/>
    <w:uiPriority w:val="99"/>
    <w:unhideWhenUsed/>
    <w:rsid w:val="00D11C26"/>
    <w:pPr>
      <w:tabs>
        <w:tab w:val="center" w:pos="4819"/>
        <w:tab w:val="right" w:pos="9639"/>
      </w:tabs>
    </w:pPr>
  </w:style>
  <w:style w:type="character" w:customStyle="1" w:styleId="1">
    <w:name w:val="Верхній колонтитул Знак1"/>
    <w:basedOn w:val="a0"/>
    <w:uiPriority w:val="99"/>
    <w:semiHidden/>
    <w:rsid w:val="00D11C26"/>
    <w:rPr>
      <w:rFonts w:ascii="Times New Roman" w:eastAsia="Times New Roman" w:hAnsi="Times New Roman" w:cs="Times New Roman"/>
      <w:sz w:val="28"/>
      <w:szCs w:val="28"/>
      <w:lang w:eastAsia="uk-UA"/>
    </w:rPr>
  </w:style>
  <w:style w:type="paragraph" w:styleId="a5">
    <w:name w:val="List Paragraph"/>
    <w:basedOn w:val="a"/>
    <w:uiPriority w:val="34"/>
    <w:qFormat/>
    <w:rsid w:val="00D11C26"/>
    <w:pPr>
      <w:ind w:left="720"/>
      <w:contextualSpacing/>
    </w:pPr>
  </w:style>
  <w:style w:type="table" w:styleId="a6">
    <w:name w:val="Table Grid"/>
    <w:basedOn w:val="a1"/>
    <w:uiPriority w:val="59"/>
    <w:rsid w:val="00D11C2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522501"/>
    <w:pPr>
      <w:spacing w:after="0" w:line="240" w:lineRule="auto"/>
    </w:pPr>
    <w:rPr>
      <w:rFonts w:ascii="Times New Roman" w:eastAsia="Times New Roman" w:hAnsi="Times New Roman" w:cs="Times New Roman"/>
      <w:sz w:val="28"/>
      <w:szCs w:val="28"/>
      <w:lang w:eastAsia="uk-UA"/>
    </w:rPr>
  </w:style>
  <w:style w:type="paragraph" w:customStyle="1" w:styleId="rvps2">
    <w:name w:val="rvps2"/>
    <w:basedOn w:val="a"/>
    <w:uiPriority w:val="99"/>
    <w:rsid w:val="00F5336E"/>
    <w:pPr>
      <w:suppressAutoHyphens/>
      <w:spacing w:before="100" w:beforeAutospacing="1" w:after="100" w:afterAutospacing="1"/>
      <w:jc w:val="left"/>
    </w:pPr>
    <w:rPr>
      <w:sz w:val="24"/>
      <w:szCs w:val="24"/>
    </w:rPr>
  </w:style>
  <w:style w:type="character" w:styleId="a8">
    <w:name w:val="annotation reference"/>
    <w:basedOn w:val="a0"/>
    <w:uiPriority w:val="99"/>
    <w:semiHidden/>
    <w:unhideWhenUsed/>
    <w:rsid w:val="00F5336E"/>
    <w:rPr>
      <w:sz w:val="16"/>
      <w:szCs w:val="16"/>
    </w:rPr>
  </w:style>
  <w:style w:type="paragraph" w:styleId="a9">
    <w:name w:val="annotation text"/>
    <w:basedOn w:val="a"/>
    <w:link w:val="aa"/>
    <w:uiPriority w:val="99"/>
    <w:unhideWhenUsed/>
    <w:rsid w:val="00F5336E"/>
    <w:pPr>
      <w:spacing w:after="160"/>
      <w:jc w:val="left"/>
    </w:pPr>
    <w:rPr>
      <w:rFonts w:asciiTheme="minorHAnsi" w:eastAsiaTheme="minorHAnsi" w:hAnsiTheme="minorHAnsi" w:cstheme="minorBidi"/>
      <w:sz w:val="20"/>
      <w:szCs w:val="20"/>
      <w:lang w:eastAsia="en-US"/>
    </w:rPr>
  </w:style>
  <w:style w:type="character" w:customStyle="1" w:styleId="aa">
    <w:name w:val="Текст примітки Знак"/>
    <w:basedOn w:val="a0"/>
    <w:link w:val="a9"/>
    <w:uiPriority w:val="99"/>
    <w:rsid w:val="00F5336E"/>
    <w:rPr>
      <w:sz w:val="20"/>
      <w:szCs w:val="20"/>
    </w:rPr>
  </w:style>
  <w:style w:type="paragraph" w:styleId="ab">
    <w:name w:val="Balloon Text"/>
    <w:basedOn w:val="a"/>
    <w:link w:val="ac"/>
    <w:uiPriority w:val="99"/>
    <w:semiHidden/>
    <w:unhideWhenUsed/>
    <w:rsid w:val="006B0AC3"/>
    <w:rPr>
      <w:rFonts w:ascii="Segoe UI" w:hAnsi="Segoe UI" w:cs="Segoe UI"/>
      <w:sz w:val="18"/>
      <w:szCs w:val="18"/>
    </w:rPr>
  </w:style>
  <w:style w:type="character" w:customStyle="1" w:styleId="ac">
    <w:name w:val="Текст у виносці Знак"/>
    <w:basedOn w:val="a0"/>
    <w:link w:val="ab"/>
    <w:uiPriority w:val="99"/>
    <w:semiHidden/>
    <w:rsid w:val="006B0AC3"/>
    <w:rPr>
      <w:rFonts w:ascii="Segoe UI" w:eastAsia="Times New Roman" w:hAnsi="Segoe UI" w:cs="Segoe UI"/>
      <w:sz w:val="18"/>
      <w:szCs w:val="18"/>
      <w:lang w:eastAsia="uk-UA"/>
    </w:rPr>
  </w:style>
  <w:style w:type="paragraph" w:styleId="ad">
    <w:name w:val="annotation subject"/>
    <w:basedOn w:val="a9"/>
    <w:next w:val="a9"/>
    <w:link w:val="ae"/>
    <w:uiPriority w:val="99"/>
    <w:semiHidden/>
    <w:unhideWhenUsed/>
    <w:rsid w:val="006B0AC3"/>
    <w:pPr>
      <w:spacing w:after="0"/>
      <w:jc w:val="both"/>
    </w:pPr>
    <w:rPr>
      <w:rFonts w:ascii="Times New Roman" w:eastAsia="Times New Roman" w:hAnsi="Times New Roman" w:cs="Times New Roman"/>
      <w:b/>
      <w:bCs/>
      <w:lang w:eastAsia="uk-UA"/>
    </w:rPr>
  </w:style>
  <w:style w:type="character" w:customStyle="1" w:styleId="ae">
    <w:name w:val="Тема примітки Знак"/>
    <w:basedOn w:val="aa"/>
    <w:link w:val="ad"/>
    <w:uiPriority w:val="99"/>
    <w:semiHidden/>
    <w:rsid w:val="006B0AC3"/>
    <w:rPr>
      <w:rFonts w:ascii="Times New Roman" w:eastAsia="Times New Roman" w:hAnsi="Times New Roman" w:cs="Times New Roman"/>
      <w:b/>
      <w:bCs/>
      <w:sz w:val="20"/>
      <w:szCs w:val="20"/>
      <w:lang w:eastAsia="uk-UA"/>
    </w:rPr>
  </w:style>
  <w:style w:type="paragraph" w:styleId="af">
    <w:name w:val="footer"/>
    <w:basedOn w:val="a"/>
    <w:link w:val="af0"/>
    <w:uiPriority w:val="99"/>
    <w:unhideWhenUsed/>
    <w:rsid w:val="003704EC"/>
    <w:pPr>
      <w:tabs>
        <w:tab w:val="center" w:pos="4513"/>
        <w:tab w:val="right" w:pos="9026"/>
      </w:tabs>
    </w:pPr>
  </w:style>
  <w:style w:type="character" w:customStyle="1" w:styleId="af0">
    <w:name w:val="Нижній колонтитул Знак"/>
    <w:basedOn w:val="a0"/>
    <w:link w:val="af"/>
    <w:uiPriority w:val="99"/>
    <w:rsid w:val="003704EC"/>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7E87-4149-406A-8AE6-0142D2FA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971</Words>
  <Characters>6063</Characters>
  <Application>Microsoft Office Word</Application>
  <DocSecurity>0</DocSecurity>
  <Lines>123</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Гужвій</dc:creator>
  <cp:keywords/>
  <dc:description/>
  <cp:lastModifiedBy>Наталія Гужвій</cp:lastModifiedBy>
  <cp:revision>3</cp:revision>
  <cp:lastPrinted>2022-08-29T13:15:00Z</cp:lastPrinted>
  <dcterms:created xsi:type="dcterms:W3CDTF">2022-08-29T12:54:00Z</dcterms:created>
  <dcterms:modified xsi:type="dcterms:W3CDTF">2022-08-29T13:16:00Z</dcterms:modified>
</cp:coreProperties>
</file>