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6" w:rsidRPr="00090B8B" w:rsidRDefault="00C667F4" w:rsidP="00FA7846">
      <w:pPr>
        <w:rPr>
          <w:sz w:val="2"/>
          <w:szCs w:val="2"/>
          <w:lang w:val="en-US"/>
        </w:rPr>
      </w:pPr>
      <w:r>
        <w:rPr>
          <w:noProof/>
          <w:sz w:val="2"/>
          <w:szCs w:val="2"/>
        </w:rPr>
        <mc:AlternateContent>
          <mc:Choice Requires="wps">
            <w:drawing>
              <wp:anchor distT="0" distB="0" distL="114300" distR="114300" simplePos="0" relativeHeight="251659264" behindDoc="0" locked="0" layoutInCell="1" allowOverlap="1">
                <wp:simplePos x="0" y="0"/>
                <wp:positionH relativeFrom="column">
                  <wp:posOffset>3699683</wp:posOffset>
                </wp:positionH>
                <wp:positionV relativeFrom="paragraph">
                  <wp:posOffset>-193790</wp:posOffset>
                </wp:positionV>
                <wp:extent cx="2452255" cy="519545"/>
                <wp:effectExtent l="0" t="0" r="5715" b="0"/>
                <wp:wrapNone/>
                <wp:docPr id="1" name="Поле 1"/>
                <wp:cNvGraphicFramePr/>
                <a:graphic xmlns:a="http://schemas.openxmlformats.org/drawingml/2006/main">
                  <a:graphicData uri="http://schemas.microsoft.com/office/word/2010/wordprocessingShape">
                    <wps:wsp>
                      <wps:cNvSpPr txBox="1"/>
                      <wps:spPr>
                        <a:xfrm>
                          <a:off x="0" y="0"/>
                          <a:ext cx="2452255" cy="519545"/>
                        </a:xfrm>
                        <a:prstGeom prst="rect">
                          <a:avLst/>
                        </a:prstGeom>
                        <a:solidFill>
                          <a:schemeClr val="lt1"/>
                        </a:solidFill>
                        <a:ln w="6350">
                          <a:noFill/>
                        </a:ln>
                      </wps:spPr>
                      <wps:txbx>
                        <w:txbxContent>
                          <w:p w:rsidR="00C667F4" w:rsidRPr="00C667F4" w:rsidRDefault="00C667F4">
                            <w:pPr>
                              <w:rPr>
                                <w:sz w:val="24"/>
                                <w:szCs w:val="24"/>
                              </w:rPr>
                            </w:pPr>
                            <w:r>
                              <w:rPr>
                                <w:sz w:val="24"/>
                                <w:szCs w:val="24"/>
                              </w:rPr>
                              <w:t>Офіційно опубліковано 01.12.2021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91.3pt;margin-top:-15.25pt;width:193.1pt;height:4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" fillcolor="white [3201]" stroked="f" strokeweight=".5pt">
                <v:textbox>
                  <w:txbxContent>
                    <w:p w:rsidR="00C667F4" w:rsidRPr="00C667F4" w:rsidRDefault="00C667F4">
                      <w:pPr>
                        <w:rPr>
                          <w:sz w:val="24"/>
                          <w:szCs w:val="24"/>
                        </w:rPr>
                      </w:pPr>
                      <w:r>
                        <w:rPr>
                          <w:sz w:val="24"/>
                          <w:szCs w:val="24"/>
                        </w:rPr>
                        <w:t>Офіційно опубліковано 01.12.2021</w:t>
                      </w:r>
                    </w:p>
                  </w:txbxContent>
                </v:textbox>
              </v:shape>
            </w:pict>
          </mc:Fallback>
        </mc:AlternateContent>
      </w:r>
    </w:p>
    <w:p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57593" w:rsidTr="00E054A9">
        <w:trPr>
          <w:trHeight w:val="851"/>
        </w:trPr>
        <w:tc>
          <w:tcPr>
            <w:tcW w:w="3284" w:type="dxa"/>
          </w:tcPr>
          <w:p w:rsidR="00657593" w:rsidRDefault="00657593" w:rsidP="00E054A9"/>
        </w:tc>
        <w:tc>
          <w:tcPr>
            <w:tcW w:w="3285" w:type="dxa"/>
            <w:vMerge w:val="restart"/>
          </w:tcPr>
          <w:p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v:imagedata r:id="rId12" o:title=""/>
                </v:shape>
                <o:OLEObject Type="Embed" ProgID="CorelDraw.Graphic.16" ShapeID="_x0000_i1025" DrawAspect="Content" ObjectID="_1699882779" r:id="rId13"/>
              </w:object>
            </w:r>
          </w:p>
        </w:tc>
        <w:tc>
          <w:tcPr>
            <w:tcW w:w="3285" w:type="dxa"/>
          </w:tcPr>
          <w:p w:rsidR="00657593" w:rsidRDefault="00657593" w:rsidP="00E054A9"/>
        </w:tc>
      </w:tr>
      <w:tr w:rsidR="00657593" w:rsidTr="00E054A9">
        <w:tc>
          <w:tcPr>
            <w:tcW w:w="3284" w:type="dxa"/>
          </w:tcPr>
          <w:p w:rsidR="00657593" w:rsidRDefault="00657593" w:rsidP="00E054A9"/>
        </w:tc>
        <w:tc>
          <w:tcPr>
            <w:tcW w:w="3285" w:type="dxa"/>
            <w:vMerge/>
          </w:tcPr>
          <w:p w:rsidR="00657593" w:rsidRDefault="00657593" w:rsidP="00E054A9"/>
        </w:tc>
        <w:tc>
          <w:tcPr>
            <w:tcW w:w="3285" w:type="dxa"/>
          </w:tcPr>
          <w:p w:rsidR="00657593" w:rsidRDefault="00657593" w:rsidP="00E054A9"/>
        </w:tc>
      </w:tr>
      <w:tr w:rsidR="00657593" w:rsidTr="00E054A9">
        <w:tc>
          <w:tcPr>
            <w:tcW w:w="9854" w:type="dxa"/>
            <w:gridSpan w:val="3"/>
          </w:tcPr>
          <w:p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57593" w:rsidRDefault="00657593" w:rsidP="00E054A9">
            <w:pPr>
              <w:jc w:val="center"/>
            </w:pPr>
            <w:r w:rsidRPr="00E10F0A">
              <w:rPr>
                <w:b/>
                <w:bCs/>
                <w:color w:val="006600"/>
                <w:sz w:val="32"/>
                <w:szCs w:val="32"/>
              </w:rPr>
              <w:t>П О С Т А Н О В А</w:t>
            </w:r>
          </w:p>
        </w:tc>
      </w:tr>
    </w:tbl>
    <w:p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630"/>
        <w:gridCol w:w="1672"/>
        <w:gridCol w:w="1894"/>
      </w:tblGrid>
      <w:tr w:rsidR="00657593" w:rsidTr="00D27A2F">
        <w:tc>
          <w:tcPr>
            <w:tcW w:w="3510" w:type="dxa"/>
            <w:tcBorders>
              <w:bottom w:val="single" w:sz="4" w:space="0" w:color="auto"/>
            </w:tcBorders>
            <w:vAlign w:val="bottom"/>
          </w:tcPr>
          <w:p w:rsidR="00657593" w:rsidRPr="00D27A2F" w:rsidRDefault="00D27A2F" w:rsidP="00D27A2F">
            <w:pPr>
              <w:jc w:val="center"/>
            </w:pPr>
            <w:r>
              <w:rPr>
                <w:lang w:val="en-US"/>
              </w:rPr>
              <w:t xml:space="preserve">30 </w:t>
            </w:r>
            <w:proofErr w:type="spellStart"/>
            <w:r>
              <w:rPr>
                <w:lang w:val="en-US"/>
              </w:rPr>
              <w:t>листопада</w:t>
            </w:r>
            <w:proofErr w:type="spellEnd"/>
            <w:r>
              <w:rPr>
                <w:lang w:val="en-US"/>
              </w:rPr>
              <w:t xml:space="preserve"> 2021</w:t>
            </w:r>
            <w:r>
              <w:t xml:space="preserve"> року</w:t>
            </w:r>
          </w:p>
        </w:tc>
        <w:tc>
          <w:tcPr>
            <w:tcW w:w="2694" w:type="dxa"/>
          </w:tcPr>
          <w:p w:rsidR="00657593" w:rsidRDefault="00657593" w:rsidP="007712EF">
            <w:pPr>
              <w:spacing w:before="240"/>
              <w:jc w:val="center"/>
            </w:pPr>
            <w:r w:rsidRPr="00E10F0A">
              <w:rPr>
                <w:color w:val="006600"/>
              </w:rPr>
              <w:t>Київ</w:t>
            </w:r>
          </w:p>
        </w:tc>
        <w:tc>
          <w:tcPr>
            <w:tcW w:w="1713" w:type="dxa"/>
            <w:vAlign w:val="bottom"/>
          </w:tcPr>
          <w:p w:rsidR="00657593" w:rsidRPr="008274C0" w:rsidRDefault="008274C0" w:rsidP="00E62607">
            <w:pPr>
              <w:jc w:val="right"/>
              <w:rPr>
                <w:lang w:val="en-US"/>
              </w:rPr>
            </w:pPr>
            <w:r w:rsidRPr="00D27A2F">
              <w:rPr>
                <w:color w:val="006600"/>
              </w:rPr>
              <w:t>№</w:t>
            </w:r>
          </w:p>
        </w:tc>
        <w:tc>
          <w:tcPr>
            <w:tcW w:w="1937" w:type="dxa"/>
            <w:tcBorders>
              <w:bottom w:val="single" w:sz="4" w:space="0" w:color="auto"/>
            </w:tcBorders>
            <w:vAlign w:val="bottom"/>
          </w:tcPr>
          <w:p w:rsidR="00657593" w:rsidRDefault="00D27A2F" w:rsidP="00D27A2F">
            <w:pPr>
              <w:jc w:val="center"/>
            </w:pPr>
            <w:r>
              <w:t>127</w:t>
            </w:r>
          </w:p>
        </w:tc>
      </w:tr>
    </w:tbl>
    <w:p w:rsidR="00657593" w:rsidRPr="00CD0CD4" w:rsidRDefault="00657593" w:rsidP="00657593">
      <w:pPr>
        <w:rPr>
          <w:sz w:val="2"/>
          <w:szCs w:val="2"/>
        </w:rPr>
      </w:pPr>
    </w:p>
    <w:p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rsidTr="005212C5">
        <w:trPr>
          <w:jc w:val="center"/>
        </w:trPr>
        <w:tc>
          <w:tcPr>
            <w:tcW w:w="5000" w:type="pct"/>
          </w:tcPr>
          <w:p w:rsidR="002B3F71" w:rsidRPr="00CD0CD4" w:rsidRDefault="00FC291A" w:rsidP="00106229">
            <w:pPr>
              <w:tabs>
                <w:tab w:val="left" w:pos="840"/>
                <w:tab w:val="center" w:pos="3293"/>
              </w:tabs>
              <w:spacing w:before="240" w:after="240"/>
              <w:jc w:val="center"/>
              <w:rPr>
                <w:rFonts w:eastAsiaTheme="minorEastAsia"/>
                <w:color w:val="000000" w:themeColor="text1"/>
                <w:lang w:eastAsia="en-US"/>
              </w:rPr>
            </w:pPr>
            <w:r w:rsidRPr="00FC291A">
              <w:t>Про затвердження Змін до Положення про встановлення офіційного курсу гривні до іноземних валют та розрахунку довідкового значення курсу гривні до долара США й облікової ціни банківських металів</w:t>
            </w:r>
          </w:p>
        </w:tc>
      </w:tr>
    </w:tbl>
    <w:p w:rsidR="00E53CCD" w:rsidRDefault="00FC291A" w:rsidP="005F4548">
      <w:pPr>
        <w:spacing w:before="240" w:after="240"/>
        <w:ind w:firstLine="567"/>
        <w:rPr>
          <w:b/>
        </w:rPr>
      </w:pPr>
      <w:r w:rsidRPr="00FC291A">
        <w:rPr>
          <w:rFonts w:eastAsiaTheme="minorEastAsia"/>
          <w:color w:val="000000" w:themeColor="text1"/>
          <w:lang w:eastAsia="en-US"/>
        </w:rPr>
        <w:t>Відповідно до статей 7, 15, 36, 56 Закону України “Про Національний банк України”, з метою вдосконалення розрахунку офіційного курсу гривні до іноземних валют та довідкового значення курсу гривні до долара США</w:t>
      </w:r>
      <w:r w:rsidR="00FA508E" w:rsidRPr="00CD0CD4">
        <w:rPr>
          <w:b/>
        </w:rPr>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rsidR="00AD7DF9" w:rsidRDefault="00AD7DF9" w:rsidP="005F4548">
      <w:pPr>
        <w:spacing w:before="240" w:after="240"/>
        <w:ind w:firstLine="567"/>
        <w:rPr>
          <w:rFonts w:eastAsiaTheme="minorEastAsia"/>
          <w:noProof/>
          <w:color w:val="000000" w:themeColor="text1"/>
          <w:lang w:eastAsia="en-US"/>
        </w:rPr>
      </w:pPr>
      <w:r w:rsidRPr="008B1589">
        <w:rPr>
          <w:lang w:val="ru-RU"/>
        </w:rPr>
        <w:t>1.</w:t>
      </w:r>
      <w:r>
        <w:rPr>
          <w:lang w:val="en-US"/>
        </w:rPr>
        <w:t> </w:t>
      </w:r>
      <w:r w:rsidR="00FC291A" w:rsidRPr="00FC291A">
        <w:rPr>
          <w:rFonts w:eastAsiaTheme="minorEastAsia"/>
          <w:noProof/>
          <w:color w:val="000000" w:themeColor="text1"/>
          <w:lang w:eastAsia="en-US"/>
        </w:rPr>
        <w:t>Затвердити Зміни до Положення про встановлення офіційного курсу гривні до іноземних валют та розрахунку довідкового значення курсу гривні до долара США й облікової ціни банківських металів, затвердженого постановою Правління Національного банку України від 10 грудня 2019 року №</w:t>
      </w:r>
      <w:r w:rsidR="00FC291A">
        <w:rPr>
          <w:rFonts w:eastAsiaTheme="minorEastAsia"/>
          <w:noProof/>
          <w:color w:val="000000" w:themeColor="text1"/>
          <w:lang w:eastAsia="en-US"/>
        </w:rPr>
        <w:t xml:space="preserve"> 148 (зі змінами), що додаються</w:t>
      </w:r>
      <w:r w:rsidR="005212A1" w:rsidRPr="005212A1">
        <w:rPr>
          <w:rFonts w:eastAsiaTheme="minorEastAsia"/>
          <w:noProof/>
          <w:color w:val="000000" w:themeColor="text1"/>
          <w:lang w:val="ru-RU" w:eastAsia="en-US"/>
        </w:rPr>
        <w:t>.</w:t>
      </w:r>
    </w:p>
    <w:p w:rsidR="00AD7DF9" w:rsidRDefault="00AD7DF9" w:rsidP="005F4548">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2. </w:t>
      </w:r>
      <w:r w:rsidR="00FC291A" w:rsidRPr="00FC291A">
        <w:rPr>
          <w:rFonts w:eastAsiaTheme="minorEastAsia"/>
          <w:noProof/>
          <w:color w:val="000000" w:themeColor="text1"/>
          <w:lang w:eastAsia="en-US"/>
        </w:rPr>
        <w:t>Департаменту відкритих ринків (Олексій Лупін) після офіційного опублікування довести до відома банків України інформацію про прийняття цієї постанови</w:t>
      </w:r>
      <w:r w:rsidR="005212A1" w:rsidRPr="00FC291A">
        <w:rPr>
          <w:rFonts w:eastAsiaTheme="minorEastAsia"/>
          <w:noProof/>
          <w:color w:val="000000" w:themeColor="text1"/>
          <w:lang w:eastAsia="en-US"/>
        </w:rPr>
        <w:t>.</w:t>
      </w:r>
    </w:p>
    <w:p w:rsidR="00AD7DF9" w:rsidRDefault="00AD7DF9" w:rsidP="005F4548">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3. </w:t>
      </w:r>
      <w:r w:rsidR="00FC291A" w:rsidRPr="00FC291A">
        <w:rPr>
          <w:rFonts w:eastAsiaTheme="minorEastAsia"/>
          <w:noProof/>
          <w:color w:val="000000" w:themeColor="text1"/>
          <w:lang w:eastAsia="en-US"/>
        </w:rPr>
        <w:t>Контроль за виконанням цієї постанови покласти на заступника Голови Національного банку України Юрія Гелетія</w:t>
      </w:r>
      <w:r w:rsidR="005212A1" w:rsidRPr="005212A1">
        <w:rPr>
          <w:rFonts w:eastAsiaTheme="minorEastAsia"/>
          <w:noProof/>
          <w:color w:val="000000" w:themeColor="text1"/>
          <w:lang w:val="ru-RU" w:eastAsia="en-US"/>
        </w:rPr>
        <w:t>.</w:t>
      </w:r>
    </w:p>
    <w:p w:rsidR="00AD7DF9" w:rsidRDefault="00AD7DF9" w:rsidP="00FC291A">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4. </w:t>
      </w:r>
      <w:r w:rsidR="00FC291A" w:rsidRPr="00FC291A">
        <w:rPr>
          <w:rFonts w:eastAsiaTheme="minorEastAsia"/>
          <w:noProof/>
          <w:color w:val="000000" w:themeColor="text1"/>
          <w:lang w:eastAsia="en-US"/>
        </w:rPr>
        <w:t>Постанова набирає чинності з 04 січня 2022 року</w:t>
      </w:r>
      <w:r w:rsidR="005212A1" w:rsidRPr="005212A1">
        <w:rPr>
          <w:rFonts w:eastAsiaTheme="minorEastAsia"/>
          <w:noProof/>
          <w:color w:val="000000" w:themeColor="text1"/>
          <w:lang w:val="ru-RU" w:eastAsia="en-US"/>
        </w:rPr>
        <w:t>.</w:t>
      </w:r>
    </w:p>
    <w:p w:rsidR="00AD7DF9" w:rsidRDefault="00AD7DF9" w:rsidP="005F4548">
      <w:pPr>
        <w:pStyle w:val="af3"/>
        <w:spacing w:before="240" w:after="120"/>
        <w:ind w:left="0" w:firstLine="567"/>
        <w:rPr>
          <w:rFonts w:eastAsiaTheme="minorEastAsia"/>
          <w:noProof/>
          <w:color w:val="000000" w:themeColor="text1"/>
          <w:lang w:eastAsia="en-US"/>
        </w:rPr>
      </w:pPr>
    </w:p>
    <w:p w:rsidR="00E42621" w:rsidRPr="00CD0CD4" w:rsidRDefault="00E42621" w:rsidP="00E42621">
      <w:pPr>
        <w:tabs>
          <w:tab w:val="left" w:pos="993"/>
        </w:tabs>
        <w:spacing w:after="120"/>
      </w:pPr>
    </w:p>
    <w:p w:rsidR="0095741D" w:rsidRPr="00CD0CD4" w:rsidRDefault="0095741D" w:rsidP="005F4548">
      <w:pPr>
        <w:spacing w:after="12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CD0CD4" w:rsidTr="00BD6D34">
        <w:tc>
          <w:tcPr>
            <w:tcW w:w="5495" w:type="dxa"/>
            <w:vAlign w:val="bottom"/>
          </w:tcPr>
          <w:p w:rsidR="00DD60CC" w:rsidRPr="00CD0CD4" w:rsidRDefault="00FC291A" w:rsidP="003C10F1">
            <w:pPr>
              <w:autoSpaceDE w:val="0"/>
              <w:autoSpaceDN w:val="0"/>
              <w:jc w:val="left"/>
            </w:pPr>
            <w:r w:rsidRPr="00FC291A">
              <w:t>Голова</w:t>
            </w:r>
          </w:p>
        </w:tc>
        <w:tc>
          <w:tcPr>
            <w:tcW w:w="4252" w:type="dxa"/>
            <w:vAlign w:val="bottom"/>
          </w:tcPr>
          <w:p w:rsidR="00DD60CC" w:rsidRPr="00CD0CD4" w:rsidRDefault="00FC291A" w:rsidP="00473EF2">
            <w:pPr>
              <w:tabs>
                <w:tab w:val="left" w:pos="7020"/>
                <w:tab w:val="left" w:pos="7200"/>
              </w:tabs>
              <w:autoSpaceDE w:val="0"/>
              <w:autoSpaceDN w:val="0"/>
              <w:ind w:left="32"/>
              <w:jc w:val="right"/>
            </w:pPr>
            <w:r w:rsidRPr="00FC291A">
              <w:t>Кирило ШЕВЧЕНКО</w:t>
            </w:r>
          </w:p>
        </w:tc>
      </w:tr>
    </w:tbl>
    <w:p w:rsidR="008D10FD" w:rsidRPr="00CD0CD4" w:rsidRDefault="008D10FD" w:rsidP="00E53CCD"/>
    <w:p w:rsidR="00FA508E" w:rsidRPr="00CD0CD4" w:rsidRDefault="00FA508E" w:rsidP="00E53CCD"/>
    <w:p w:rsidR="00FC291A" w:rsidRDefault="00FA508E" w:rsidP="00FA508E">
      <w:pPr>
        <w:jc w:val="left"/>
        <w:sectPr w:rsidR="00FC291A" w:rsidSect="009E091C">
          <w:headerReference w:type="default" r:id="rId14"/>
          <w:footerReference w:type="first" r:id="rId15"/>
          <w:pgSz w:w="11906" w:h="16838" w:code="9"/>
          <w:pgMar w:top="567" w:right="567" w:bottom="1701" w:left="1701" w:header="567" w:footer="567" w:gutter="0"/>
          <w:cols w:space="708"/>
          <w:titlePg/>
          <w:docGrid w:linePitch="381"/>
        </w:sectPr>
      </w:pPr>
      <w:r w:rsidRPr="00CD0CD4">
        <w:t>Інд.</w:t>
      </w:r>
      <w:r w:rsidRPr="00CD0CD4">
        <w:rPr>
          <w:sz w:val="22"/>
          <w:szCs w:val="22"/>
        </w:rPr>
        <w:t xml:space="preserve"> </w:t>
      </w:r>
      <w:r w:rsidR="00FC291A">
        <w:t>40</w:t>
      </w:r>
    </w:p>
    <w:tbl>
      <w:tblPr>
        <w:tblpPr w:leftFromText="45" w:rightFromText="45" w:vertAnchor="text" w:tblpXSpec="right" w:tblpYSpec="center"/>
        <w:tblW w:w="3537" w:type="pct"/>
        <w:tblCellSpacing w:w="22" w:type="dxa"/>
        <w:tblCellMar>
          <w:top w:w="30" w:type="dxa"/>
          <w:left w:w="30" w:type="dxa"/>
          <w:bottom w:w="30" w:type="dxa"/>
          <w:right w:w="30" w:type="dxa"/>
        </w:tblCellMar>
        <w:tblLook w:val="04A0" w:firstRow="1" w:lastRow="0" w:firstColumn="1" w:lastColumn="0" w:noHBand="0" w:noVBand="1"/>
      </w:tblPr>
      <w:tblGrid>
        <w:gridCol w:w="6818"/>
      </w:tblGrid>
      <w:tr w:rsidR="00FC291A" w:rsidRPr="00AF11B9" w:rsidTr="00E31CC7">
        <w:trPr>
          <w:trHeight w:val="1360"/>
          <w:tblCellSpacing w:w="22" w:type="dxa"/>
        </w:trPr>
        <w:tc>
          <w:tcPr>
            <w:tcW w:w="4935" w:type="pct"/>
            <w:hideMark/>
          </w:tcPr>
          <w:p w:rsidR="00FC291A" w:rsidRDefault="00FC291A" w:rsidP="0021159A">
            <w:pPr>
              <w:pStyle w:val="af4"/>
              <w:spacing w:before="0" w:after="0"/>
              <w:ind w:left="-74" w:firstLine="2693"/>
              <w:rPr>
                <w:sz w:val="28"/>
                <w:szCs w:val="28"/>
                <w:lang w:val="uk-UA"/>
              </w:rPr>
            </w:pPr>
            <w:r w:rsidRPr="00AF11B9">
              <w:rPr>
                <w:sz w:val="28"/>
                <w:szCs w:val="28"/>
                <w:lang w:val="uk-UA"/>
              </w:rPr>
              <w:lastRenderedPageBreak/>
              <w:t>ЗАТВЕРДЖЕНО</w:t>
            </w:r>
          </w:p>
          <w:p w:rsidR="00FC291A" w:rsidRDefault="00FC291A" w:rsidP="0021159A">
            <w:pPr>
              <w:pStyle w:val="af4"/>
              <w:spacing w:before="0" w:after="0"/>
              <w:ind w:left="-74" w:firstLine="2693"/>
              <w:rPr>
                <w:sz w:val="28"/>
                <w:szCs w:val="28"/>
                <w:lang w:val="uk-UA"/>
              </w:rPr>
            </w:pPr>
            <w:r w:rsidRPr="00AF11B9">
              <w:rPr>
                <w:sz w:val="28"/>
                <w:szCs w:val="28"/>
                <w:lang w:val="uk-UA"/>
              </w:rPr>
              <w:t>Постанова Правління</w:t>
            </w:r>
            <w:r>
              <w:rPr>
                <w:sz w:val="28"/>
                <w:szCs w:val="28"/>
                <w:lang w:val="uk-UA"/>
              </w:rPr>
              <w:t xml:space="preserve"> </w:t>
            </w:r>
          </w:p>
          <w:p w:rsidR="00FC291A" w:rsidRDefault="00FC291A" w:rsidP="0021159A">
            <w:pPr>
              <w:pStyle w:val="af4"/>
              <w:spacing w:before="0" w:after="0"/>
              <w:ind w:left="-74" w:firstLine="2693"/>
              <w:rPr>
                <w:sz w:val="28"/>
                <w:szCs w:val="28"/>
                <w:lang w:val="uk-UA"/>
              </w:rPr>
            </w:pPr>
            <w:r w:rsidRPr="00AF11B9">
              <w:rPr>
                <w:sz w:val="28"/>
                <w:szCs w:val="28"/>
                <w:lang w:val="uk-UA"/>
              </w:rPr>
              <w:t>Національного</w:t>
            </w:r>
            <w:r>
              <w:rPr>
                <w:sz w:val="28"/>
                <w:szCs w:val="28"/>
                <w:lang w:val="uk-UA"/>
              </w:rPr>
              <w:t xml:space="preserve"> </w:t>
            </w:r>
            <w:r w:rsidRPr="00AF11B9">
              <w:rPr>
                <w:sz w:val="28"/>
                <w:szCs w:val="28"/>
                <w:lang w:val="uk-UA"/>
              </w:rPr>
              <w:t>банку України</w:t>
            </w:r>
          </w:p>
          <w:p w:rsidR="00FC291A" w:rsidRPr="00AF11B9" w:rsidRDefault="00D27A2F" w:rsidP="00E153AA">
            <w:pPr>
              <w:pStyle w:val="af4"/>
              <w:spacing w:before="0" w:after="0"/>
              <w:ind w:left="-74" w:firstLine="2693"/>
              <w:rPr>
                <w:sz w:val="28"/>
                <w:szCs w:val="28"/>
                <w:lang w:val="uk-UA"/>
              </w:rPr>
            </w:pPr>
            <w:r>
              <w:rPr>
                <w:sz w:val="28"/>
                <w:szCs w:val="28"/>
                <w:lang w:val="uk-UA"/>
              </w:rPr>
              <w:t>30 листопада 2021 року № 127</w:t>
            </w:r>
          </w:p>
        </w:tc>
      </w:tr>
    </w:tbl>
    <w:p w:rsidR="00FC291A" w:rsidRDefault="00FC291A" w:rsidP="00FC291A">
      <w:pPr>
        <w:pStyle w:val="af4"/>
        <w:jc w:val="both"/>
        <w:rPr>
          <w:sz w:val="28"/>
          <w:szCs w:val="28"/>
          <w:lang w:val="uk-UA"/>
        </w:rPr>
      </w:pPr>
    </w:p>
    <w:p w:rsidR="009E091C" w:rsidRDefault="009E091C" w:rsidP="00FC291A">
      <w:pPr>
        <w:pStyle w:val="af4"/>
        <w:jc w:val="both"/>
        <w:rPr>
          <w:sz w:val="28"/>
          <w:szCs w:val="28"/>
          <w:lang w:val="uk-UA"/>
        </w:rPr>
      </w:pPr>
    </w:p>
    <w:p w:rsidR="009E091C" w:rsidRDefault="009E091C" w:rsidP="00FC291A">
      <w:pPr>
        <w:pStyle w:val="af4"/>
        <w:jc w:val="both"/>
        <w:rPr>
          <w:sz w:val="28"/>
          <w:szCs w:val="28"/>
          <w:lang w:val="uk-UA"/>
        </w:rPr>
      </w:pPr>
    </w:p>
    <w:p w:rsidR="00E153AA" w:rsidRDefault="00E153AA" w:rsidP="00FC291A">
      <w:pPr>
        <w:jc w:val="center"/>
        <w:rPr>
          <w:rFonts w:eastAsiaTheme="minorEastAsia"/>
          <w:noProof/>
          <w:color w:val="000000" w:themeColor="text1"/>
          <w:lang w:eastAsia="en-US"/>
        </w:rPr>
      </w:pPr>
    </w:p>
    <w:p w:rsidR="00FC291A" w:rsidRDefault="00FC291A" w:rsidP="00FC291A">
      <w:pPr>
        <w:jc w:val="center"/>
        <w:rPr>
          <w:rFonts w:eastAsiaTheme="minorEastAsia"/>
          <w:noProof/>
          <w:color w:val="000000" w:themeColor="text1"/>
          <w:lang w:eastAsia="en-US"/>
        </w:rPr>
      </w:pPr>
      <w:r>
        <w:rPr>
          <w:rFonts w:eastAsiaTheme="minorEastAsia"/>
          <w:noProof/>
          <w:color w:val="000000" w:themeColor="text1"/>
          <w:lang w:eastAsia="en-US"/>
        </w:rPr>
        <w:t xml:space="preserve">Зміни до </w:t>
      </w:r>
      <w:r w:rsidRPr="00706698">
        <w:rPr>
          <w:rFonts w:eastAsiaTheme="minorEastAsia"/>
          <w:noProof/>
          <w:color w:val="000000" w:themeColor="text1"/>
          <w:lang w:eastAsia="en-US"/>
        </w:rPr>
        <w:t xml:space="preserve">Положення про встановлення офіційного курсу гривні </w:t>
      </w:r>
    </w:p>
    <w:p w:rsidR="00FC291A" w:rsidRDefault="00FC291A" w:rsidP="00FC291A">
      <w:pPr>
        <w:jc w:val="center"/>
        <w:rPr>
          <w:rFonts w:eastAsiaTheme="minorEastAsia"/>
          <w:noProof/>
          <w:color w:val="000000" w:themeColor="text1"/>
          <w:lang w:eastAsia="en-US"/>
        </w:rPr>
      </w:pPr>
      <w:r w:rsidRPr="00706698">
        <w:rPr>
          <w:rFonts w:eastAsiaTheme="minorEastAsia"/>
          <w:noProof/>
          <w:color w:val="000000" w:themeColor="text1"/>
          <w:lang w:eastAsia="en-US"/>
        </w:rPr>
        <w:t xml:space="preserve">до іноземних валют та розрахунку довідкового значення курсу гривні </w:t>
      </w:r>
    </w:p>
    <w:p w:rsidR="00FC291A" w:rsidRDefault="00FC291A" w:rsidP="00FC291A">
      <w:pPr>
        <w:jc w:val="center"/>
        <w:rPr>
          <w:rFonts w:eastAsiaTheme="minorEastAsia"/>
          <w:noProof/>
          <w:color w:val="000000" w:themeColor="text1"/>
          <w:lang w:eastAsia="en-US"/>
        </w:rPr>
      </w:pPr>
      <w:r w:rsidRPr="00706698">
        <w:rPr>
          <w:rFonts w:eastAsiaTheme="minorEastAsia"/>
          <w:noProof/>
          <w:color w:val="000000" w:themeColor="text1"/>
          <w:lang w:eastAsia="en-US"/>
        </w:rPr>
        <w:t>до долара США й облікової ціни банківських металів</w:t>
      </w:r>
    </w:p>
    <w:p w:rsidR="00FC291A" w:rsidRDefault="00FC291A" w:rsidP="00FC291A">
      <w:pPr>
        <w:tabs>
          <w:tab w:val="left" w:pos="5295"/>
        </w:tabs>
      </w:pPr>
    </w:p>
    <w:p w:rsidR="00E31CC7" w:rsidRPr="00AF11B9" w:rsidRDefault="00E31CC7" w:rsidP="00FC291A">
      <w:pPr>
        <w:tabs>
          <w:tab w:val="left" w:pos="5295"/>
        </w:tabs>
      </w:pPr>
    </w:p>
    <w:p w:rsidR="00FC291A" w:rsidRPr="00C01E85" w:rsidRDefault="00FC291A" w:rsidP="00FC291A">
      <w:pPr>
        <w:pStyle w:val="af4"/>
        <w:spacing w:before="0" w:after="0"/>
        <w:ind w:firstLine="709"/>
        <w:jc w:val="both"/>
        <w:rPr>
          <w:sz w:val="28"/>
          <w:szCs w:val="28"/>
          <w:lang w:val="uk-UA"/>
        </w:rPr>
      </w:pPr>
      <w:r w:rsidRPr="009F51F2">
        <w:rPr>
          <w:sz w:val="28"/>
          <w:szCs w:val="28"/>
          <w:lang w:val="uk-UA"/>
        </w:rPr>
        <w:t>1</w:t>
      </w:r>
      <w:r w:rsidRPr="00C01E85">
        <w:rPr>
          <w:sz w:val="28"/>
          <w:szCs w:val="28"/>
          <w:lang w:val="uk-UA"/>
        </w:rPr>
        <w:t>. У розділі І:</w:t>
      </w:r>
    </w:p>
    <w:p w:rsidR="00FC291A" w:rsidRPr="00C01E85" w:rsidRDefault="00FC291A" w:rsidP="00FC291A">
      <w:pPr>
        <w:pStyle w:val="af4"/>
        <w:spacing w:before="0" w:after="0"/>
        <w:ind w:firstLine="709"/>
        <w:jc w:val="both"/>
        <w:rPr>
          <w:sz w:val="28"/>
          <w:szCs w:val="28"/>
          <w:lang w:val="uk-UA"/>
        </w:rPr>
      </w:pPr>
      <w:r w:rsidRPr="00C01E85">
        <w:rPr>
          <w:sz w:val="28"/>
          <w:szCs w:val="28"/>
          <w:lang w:val="uk-UA"/>
        </w:rPr>
        <w:t xml:space="preserve"> </w:t>
      </w:r>
    </w:p>
    <w:p w:rsidR="00FC291A" w:rsidRPr="00C01E85" w:rsidRDefault="00FC291A" w:rsidP="00FC291A">
      <w:pPr>
        <w:pStyle w:val="af4"/>
        <w:spacing w:before="0" w:after="0"/>
        <w:ind w:firstLine="709"/>
        <w:jc w:val="both"/>
        <w:rPr>
          <w:sz w:val="28"/>
          <w:szCs w:val="28"/>
          <w:lang w:val="uk-UA"/>
        </w:rPr>
      </w:pPr>
      <w:r w:rsidRPr="00C01E85">
        <w:rPr>
          <w:sz w:val="28"/>
          <w:szCs w:val="28"/>
          <w:lang w:val="uk-UA"/>
        </w:rPr>
        <w:t>1)</w:t>
      </w:r>
      <w:r>
        <w:rPr>
          <w:sz w:val="28"/>
          <w:szCs w:val="28"/>
          <w:lang w:val="uk-UA"/>
        </w:rPr>
        <w:t xml:space="preserve"> у пункті 1 слова </w:t>
      </w:r>
      <w:r w:rsidRPr="0094351F">
        <w:rPr>
          <w:sz w:val="28"/>
          <w:szCs w:val="28"/>
          <w:lang w:val="uk-UA"/>
        </w:rPr>
        <w:t>“</w:t>
      </w:r>
      <w:r w:rsidRPr="006B6323">
        <w:rPr>
          <w:sz w:val="28"/>
          <w:szCs w:val="28"/>
          <w:lang w:val="uk-UA"/>
        </w:rPr>
        <w:t>встановлення і використання Національним банком України (далі ‒ Національний банк) офіційного курсу гривні до іноземних валют та розрахунку довідкового</w:t>
      </w:r>
      <w:r w:rsidRPr="0094351F">
        <w:rPr>
          <w:sz w:val="28"/>
          <w:szCs w:val="28"/>
          <w:lang w:val="uk-UA"/>
        </w:rPr>
        <w:t>”</w:t>
      </w:r>
      <w:r>
        <w:rPr>
          <w:sz w:val="28"/>
          <w:szCs w:val="28"/>
          <w:lang w:val="uk-UA"/>
        </w:rPr>
        <w:t xml:space="preserve"> замінити словами </w:t>
      </w:r>
      <w:r w:rsidRPr="0094351F">
        <w:rPr>
          <w:sz w:val="28"/>
          <w:szCs w:val="28"/>
          <w:lang w:val="uk-UA"/>
        </w:rPr>
        <w:t>“</w:t>
      </w:r>
      <w:r w:rsidRPr="00CE31F6">
        <w:rPr>
          <w:sz w:val="28"/>
          <w:szCs w:val="28"/>
          <w:lang w:val="uk-UA"/>
        </w:rPr>
        <w:t>встановлення, розрахунку, оприлюднення і використання офіційного курсу гривні до іноземних валют та розрахунку, оприлюднення і використання довідкового</w:t>
      </w:r>
      <w:r w:rsidRPr="0094351F">
        <w:rPr>
          <w:sz w:val="28"/>
          <w:szCs w:val="28"/>
          <w:lang w:val="uk-UA"/>
        </w:rPr>
        <w:t>”</w:t>
      </w:r>
      <w:r>
        <w:rPr>
          <w:sz w:val="28"/>
          <w:szCs w:val="28"/>
          <w:lang w:val="uk-UA"/>
        </w:rPr>
        <w:t>;</w:t>
      </w:r>
    </w:p>
    <w:p w:rsidR="00FC291A" w:rsidRPr="00C01E85" w:rsidRDefault="00FC291A" w:rsidP="00FC291A">
      <w:pPr>
        <w:pStyle w:val="af4"/>
        <w:spacing w:before="0" w:after="0"/>
        <w:ind w:firstLine="709"/>
        <w:jc w:val="both"/>
        <w:rPr>
          <w:sz w:val="28"/>
          <w:szCs w:val="28"/>
          <w:lang w:val="uk-UA"/>
        </w:rPr>
      </w:pPr>
    </w:p>
    <w:p w:rsidR="00FC291A" w:rsidRDefault="00FC291A" w:rsidP="00FC291A">
      <w:pPr>
        <w:pStyle w:val="af4"/>
        <w:spacing w:before="0" w:after="0"/>
        <w:ind w:firstLine="709"/>
        <w:jc w:val="both"/>
        <w:rPr>
          <w:sz w:val="28"/>
          <w:szCs w:val="28"/>
          <w:lang w:val="uk-UA"/>
        </w:rPr>
      </w:pPr>
      <w:r w:rsidRPr="00C01E85">
        <w:rPr>
          <w:sz w:val="28"/>
          <w:szCs w:val="28"/>
          <w:lang w:val="uk-UA"/>
        </w:rPr>
        <w:t xml:space="preserve">2) у підпункті 1 пункту 2 цифри та слова </w:t>
      </w:r>
      <w:r>
        <w:rPr>
          <w:sz w:val="28"/>
          <w:szCs w:val="28"/>
          <w:lang w:val="uk-UA"/>
        </w:rPr>
        <w:t>“15.30”, “</w:t>
      </w:r>
      <w:r w:rsidRPr="0094351F">
        <w:rPr>
          <w:sz w:val="28"/>
          <w:szCs w:val="28"/>
          <w:lang w:val="uk-UA"/>
        </w:rPr>
        <w:t>Національного банку”</w:t>
      </w:r>
      <w:r>
        <w:rPr>
          <w:sz w:val="28"/>
          <w:szCs w:val="28"/>
          <w:lang w:val="uk-UA"/>
        </w:rPr>
        <w:t xml:space="preserve"> замінити відповідно цифрами та словами</w:t>
      </w:r>
      <w:r w:rsidRPr="0094351F">
        <w:rPr>
          <w:sz w:val="28"/>
          <w:szCs w:val="28"/>
          <w:lang w:val="uk-UA"/>
        </w:rPr>
        <w:t xml:space="preserve"> </w:t>
      </w:r>
      <w:r>
        <w:rPr>
          <w:sz w:val="28"/>
          <w:szCs w:val="28"/>
          <w:lang w:val="uk-UA"/>
        </w:rPr>
        <w:t>“15.00”, “</w:t>
      </w:r>
      <w:r w:rsidRPr="0094351F">
        <w:rPr>
          <w:sz w:val="28"/>
          <w:szCs w:val="28"/>
          <w:lang w:val="uk-UA"/>
        </w:rPr>
        <w:t>Національного банку України (далі – Національний банк)”</w:t>
      </w:r>
      <w:r>
        <w:rPr>
          <w:sz w:val="28"/>
          <w:szCs w:val="28"/>
          <w:lang w:val="uk-UA"/>
        </w:rPr>
        <w:t>;</w:t>
      </w:r>
    </w:p>
    <w:p w:rsidR="00FC291A" w:rsidRDefault="00FC291A" w:rsidP="00FC291A">
      <w:pPr>
        <w:pStyle w:val="af4"/>
        <w:spacing w:before="0" w:after="0"/>
        <w:ind w:firstLine="709"/>
        <w:jc w:val="both"/>
        <w:rPr>
          <w:sz w:val="28"/>
          <w:szCs w:val="28"/>
          <w:lang w:val="uk-UA"/>
        </w:rPr>
      </w:pPr>
    </w:p>
    <w:p w:rsidR="00FC291A" w:rsidRDefault="00FC291A" w:rsidP="00FC291A">
      <w:pPr>
        <w:pStyle w:val="af4"/>
        <w:spacing w:before="0" w:after="0"/>
        <w:ind w:firstLine="709"/>
        <w:jc w:val="both"/>
        <w:rPr>
          <w:sz w:val="28"/>
          <w:szCs w:val="28"/>
          <w:lang w:val="uk-UA"/>
        </w:rPr>
      </w:pPr>
      <w:r w:rsidRPr="00C01E85">
        <w:rPr>
          <w:sz w:val="28"/>
          <w:szCs w:val="28"/>
          <w:lang w:val="uk-UA"/>
        </w:rPr>
        <w:t xml:space="preserve">3) у пункті 4 </w:t>
      </w:r>
      <w:r>
        <w:rPr>
          <w:sz w:val="28"/>
          <w:szCs w:val="28"/>
          <w:lang w:val="uk-UA"/>
        </w:rPr>
        <w:t>слово “розрахунку”</w:t>
      </w:r>
      <w:r w:rsidR="0035073E">
        <w:rPr>
          <w:sz w:val="28"/>
          <w:szCs w:val="28"/>
          <w:lang w:val="uk-UA"/>
        </w:rPr>
        <w:t xml:space="preserve"> виключити</w:t>
      </w:r>
      <w:r>
        <w:rPr>
          <w:sz w:val="28"/>
          <w:szCs w:val="28"/>
          <w:lang w:val="uk-UA"/>
        </w:rPr>
        <w:t>.</w:t>
      </w:r>
    </w:p>
    <w:p w:rsidR="00FC291A" w:rsidRDefault="00FC291A" w:rsidP="00FC291A">
      <w:pPr>
        <w:pStyle w:val="af4"/>
        <w:spacing w:before="0" w:after="0"/>
        <w:jc w:val="both"/>
        <w:rPr>
          <w:sz w:val="28"/>
          <w:szCs w:val="28"/>
          <w:lang w:val="uk-UA"/>
        </w:rPr>
      </w:pPr>
    </w:p>
    <w:p w:rsidR="00FC291A" w:rsidRDefault="00FC291A" w:rsidP="00FC291A">
      <w:pPr>
        <w:pStyle w:val="af4"/>
        <w:spacing w:before="0" w:after="0"/>
        <w:ind w:firstLine="709"/>
        <w:jc w:val="both"/>
        <w:rPr>
          <w:sz w:val="28"/>
          <w:szCs w:val="28"/>
          <w:lang w:val="uk-UA" w:eastAsia="en-US"/>
        </w:rPr>
      </w:pPr>
      <w:r w:rsidRPr="00463A5F">
        <w:rPr>
          <w:sz w:val="28"/>
          <w:szCs w:val="28"/>
        </w:rPr>
        <w:t>2</w:t>
      </w:r>
      <w:r>
        <w:rPr>
          <w:sz w:val="28"/>
          <w:szCs w:val="28"/>
          <w:lang w:val="uk-UA"/>
        </w:rPr>
        <w:t xml:space="preserve">. </w:t>
      </w:r>
      <w:r>
        <w:rPr>
          <w:sz w:val="28"/>
          <w:szCs w:val="28"/>
          <w:lang w:val="uk-UA" w:eastAsia="en-US"/>
        </w:rPr>
        <w:t>У розділі ІІІ:</w:t>
      </w:r>
    </w:p>
    <w:p w:rsidR="00FC291A" w:rsidRDefault="00FC291A" w:rsidP="00FC291A">
      <w:pPr>
        <w:pStyle w:val="af4"/>
        <w:spacing w:before="0" w:after="0"/>
        <w:ind w:firstLine="709"/>
        <w:jc w:val="both"/>
        <w:rPr>
          <w:sz w:val="28"/>
          <w:szCs w:val="28"/>
          <w:lang w:val="uk-UA" w:eastAsia="en-US"/>
        </w:rPr>
      </w:pPr>
    </w:p>
    <w:p w:rsidR="00FC291A" w:rsidRDefault="00FC291A" w:rsidP="00FC291A">
      <w:pPr>
        <w:pStyle w:val="af4"/>
        <w:spacing w:before="0" w:after="0"/>
        <w:ind w:firstLine="709"/>
        <w:jc w:val="both"/>
        <w:rPr>
          <w:sz w:val="28"/>
          <w:szCs w:val="28"/>
          <w:lang w:val="uk-UA" w:eastAsia="en-US"/>
        </w:rPr>
      </w:pPr>
      <w:r>
        <w:rPr>
          <w:sz w:val="28"/>
          <w:szCs w:val="28"/>
          <w:lang w:val="uk-UA" w:eastAsia="en-US"/>
        </w:rPr>
        <w:t xml:space="preserve">1) </w:t>
      </w:r>
      <w:r w:rsidRPr="0094351F">
        <w:rPr>
          <w:sz w:val="28"/>
          <w:szCs w:val="28"/>
          <w:lang w:val="uk-UA" w:eastAsia="en-US"/>
        </w:rPr>
        <w:t>у заголовку слова “</w:t>
      </w:r>
      <w:r>
        <w:rPr>
          <w:sz w:val="28"/>
          <w:szCs w:val="28"/>
          <w:lang w:val="uk-UA" w:eastAsia="en-US"/>
        </w:rPr>
        <w:t xml:space="preserve">, </w:t>
      </w:r>
      <w:r w:rsidRPr="00496B0F">
        <w:rPr>
          <w:sz w:val="28"/>
          <w:szCs w:val="28"/>
          <w:lang w:val="uk-UA" w:eastAsia="en-US"/>
        </w:rPr>
        <w:t>дії та використання</w:t>
      </w:r>
      <w:r w:rsidRPr="0094351F">
        <w:rPr>
          <w:sz w:val="28"/>
          <w:szCs w:val="28"/>
          <w:lang w:val="uk-UA" w:eastAsia="en-US"/>
        </w:rPr>
        <w:t xml:space="preserve">” </w:t>
      </w:r>
      <w:r>
        <w:rPr>
          <w:sz w:val="28"/>
          <w:szCs w:val="28"/>
          <w:lang w:val="uk-UA" w:eastAsia="en-US"/>
        </w:rPr>
        <w:t xml:space="preserve">замінити словами </w:t>
      </w:r>
      <w:r w:rsidRPr="0094351F">
        <w:rPr>
          <w:sz w:val="28"/>
          <w:szCs w:val="28"/>
          <w:lang w:val="uk-UA" w:eastAsia="en-US"/>
        </w:rPr>
        <w:t>“</w:t>
      </w:r>
      <w:r>
        <w:rPr>
          <w:sz w:val="28"/>
          <w:szCs w:val="28"/>
          <w:lang w:val="uk-UA" w:eastAsia="en-US"/>
        </w:rPr>
        <w:t>та дії</w:t>
      </w:r>
      <w:r w:rsidRPr="0094351F">
        <w:rPr>
          <w:sz w:val="28"/>
          <w:szCs w:val="28"/>
          <w:lang w:val="uk-UA" w:eastAsia="en-US"/>
        </w:rPr>
        <w:t>”;</w:t>
      </w:r>
    </w:p>
    <w:p w:rsidR="00FC291A" w:rsidRDefault="00FC291A" w:rsidP="00FC291A">
      <w:pPr>
        <w:pStyle w:val="af4"/>
        <w:spacing w:before="0" w:after="0"/>
        <w:ind w:firstLine="709"/>
        <w:jc w:val="both"/>
        <w:rPr>
          <w:sz w:val="28"/>
          <w:szCs w:val="28"/>
          <w:lang w:val="uk-UA" w:eastAsia="en-US"/>
        </w:rPr>
      </w:pPr>
    </w:p>
    <w:p w:rsidR="00FC291A" w:rsidRDefault="00FC291A" w:rsidP="00FC291A">
      <w:pPr>
        <w:pStyle w:val="af4"/>
        <w:spacing w:before="0" w:after="0"/>
        <w:ind w:firstLine="709"/>
        <w:jc w:val="both"/>
        <w:rPr>
          <w:sz w:val="28"/>
          <w:szCs w:val="28"/>
          <w:lang w:val="uk-UA" w:eastAsia="en-US"/>
        </w:rPr>
      </w:pPr>
      <w:r>
        <w:rPr>
          <w:sz w:val="28"/>
          <w:szCs w:val="28"/>
          <w:lang w:val="uk-UA" w:eastAsia="en-US"/>
        </w:rPr>
        <w:t>2) у підпункті 1 пункту 7:</w:t>
      </w:r>
    </w:p>
    <w:p w:rsidR="00FC291A" w:rsidRDefault="00FC291A" w:rsidP="00FC291A">
      <w:pPr>
        <w:pStyle w:val="af4"/>
        <w:spacing w:before="0" w:after="0"/>
        <w:ind w:firstLine="709"/>
        <w:jc w:val="both"/>
        <w:rPr>
          <w:sz w:val="28"/>
          <w:szCs w:val="28"/>
          <w:lang w:val="uk-UA" w:eastAsia="en-US"/>
        </w:rPr>
      </w:pPr>
      <w:r>
        <w:rPr>
          <w:sz w:val="28"/>
          <w:szCs w:val="28"/>
          <w:lang w:val="uk-UA" w:eastAsia="en-US"/>
        </w:rPr>
        <w:t xml:space="preserve">абзац перший </w:t>
      </w:r>
      <w:r w:rsidRPr="00970C46">
        <w:rPr>
          <w:sz w:val="28"/>
          <w:szCs w:val="28"/>
          <w:lang w:val="uk-UA" w:eastAsia="en-US"/>
        </w:rPr>
        <w:t>після слів</w:t>
      </w:r>
      <w:r>
        <w:rPr>
          <w:sz w:val="28"/>
          <w:szCs w:val="28"/>
          <w:lang w:val="uk-UA" w:eastAsia="en-US"/>
        </w:rPr>
        <w:t xml:space="preserve"> та літер</w:t>
      </w:r>
      <w:r w:rsidRPr="00970C46">
        <w:rPr>
          <w:sz w:val="28"/>
          <w:szCs w:val="28"/>
          <w:lang w:val="uk-UA" w:eastAsia="en-US"/>
        </w:rPr>
        <w:t xml:space="preserve"> “або розрахунку офіційного курсу гривні до долара США” доповнити словами </w:t>
      </w:r>
      <w:r>
        <w:rPr>
          <w:sz w:val="28"/>
          <w:szCs w:val="28"/>
          <w:lang w:val="uk-UA" w:eastAsia="en-US"/>
        </w:rPr>
        <w:t>та літерами</w:t>
      </w:r>
      <w:r w:rsidRPr="00970C46">
        <w:rPr>
          <w:sz w:val="28"/>
          <w:szCs w:val="28"/>
          <w:lang w:val="uk-UA" w:eastAsia="en-US"/>
        </w:rPr>
        <w:t xml:space="preserve"> “і довідкового значення курсу гривні до долара США”</w:t>
      </w:r>
      <w:r>
        <w:rPr>
          <w:sz w:val="28"/>
          <w:szCs w:val="28"/>
          <w:lang w:val="uk-UA" w:eastAsia="en-US"/>
        </w:rPr>
        <w:t>;</w:t>
      </w:r>
    </w:p>
    <w:p w:rsidR="00FC291A" w:rsidRDefault="00FC291A" w:rsidP="00FC291A">
      <w:pPr>
        <w:pStyle w:val="af4"/>
        <w:spacing w:before="0" w:after="0"/>
        <w:ind w:firstLine="709"/>
        <w:jc w:val="both"/>
        <w:rPr>
          <w:sz w:val="28"/>
          <w:szCs w:val="28"/>
          <w:lang w:val="uk-UA" w:eastAsia="en-US"/>
        </w:rPr>
      </w:pPr>
      <w:r>
        <w:rPr>
          <w:sz w:val="28"/>
          <w:szCs w:val="28"/>
          <w:lang w:val="uk-UA" w:eastAsia="en-US"/>
        </w:rPr>
        <w:t xml:space="preserve">абзац третій після слова </w:t>
      </w:r>
      <w:r w:rsidR="009D3203">
        <w:rPr>
          <w:sz w:val="28"/>
          <w:szCs w:val="28"/>
          <w:lang w:val="uk-UA" w:eastAsia="en-US"/>
        </w:rPr>
        <w:t>«</w:t>
      </w:r>
      <w:r w:rsidRPr="00E271D3">
        <w:rPr>
          <w:sz w:val="28"/>
          <w:szCs w:val="28"/>
          <w:lang w:val="uk-UA" w:eastAsia="en-US"/>
        </w:rPr>
        <w:t>“</w:t>
      </w:r>
      <w:proofErr w:type="spellStart"/>
      <w:r w:rsidRPr="00E271D3">
        <w:rPr>
          <w:sz w:val="28"/>
          <w:szCs w:val="28"/>
          <w:lang w:val="uk-UA" w:eastAsia="en-US"/>
        </w:rPr>
        <w:t>спот</w:t>
      </w:r>
      <w:proofErr w:type="spellEnd"/>
      <w:r w:rsidRPr="00970C46">
        <w:rPr>
          <w:sz w:val="28"/>
          <w:szCs w:val="28"/>
          <w:lang w:val="uk-UA" w:eastAsia="en-US"/>
        </w:rPr>
        <w:t>”</w:t>
      </w:r>
      <w:r w:rsidR="009D3203">
        <w:rPr>
          <w:sz w:val="28"/>
          <w:szCs w:val="28"/>
          <w:lang w:val="uk-UA" w:eastAsia="en-US"/>
        </w:rPr>
        <w:t>»</w:t>
      </w:r>
      <w:r w:rsidRPr="00970C46">
        <w:rPr>
          <w:sz w:val="28"/>
          <w:szCs w:val="28"/>
          <w:lang w:val="uk-UA" w:eastAsia="en-US"/>
        </w:rPr>
        <w:t xml:space="preserve"> доповнити словами</w:t>
      </w:r>
      <w:r>
        <w:rPr>
          <w:sz w:val="28"/>
          <w:szCs w:val="28"/>
          <w:lang w:val="uk-UA" w:eastAsia="en-US"/>
        </w:rPr>
        <w:t>, цифрами та літерами</w:t>
      </w:r>
      <w:r w:rsidRPr="00970C46">
        <w:rPr>
          <w:sz w:val="28"/>
          <w:szCs w:val="28"/>
          <w:lang w:val="uk-UA" w:eastAsia="en-US"/>
        </w:rPr>
        <w:t xml:space="preserve">  “</w:t>
      </w:r>
      <w:r w:rsidRPr="00E271D3">
        <w:rPr>
          <w:sz w:val="28"/>
          <w:szCs w:val="28"/>
          <w:lang w:val="uk-UA" w:eastAsia="en-US"/>
        </w:rPr>
        <w:t>з обсягом від 100 тис</w:t>
      </w:r>
      <w:r>
        <w:rPr>
          <w:sz w:val="28"/>
          <w:szCs w:val="28"/>
          <w:lang w:val="uk-UA" w:eastAsia="en-US"/>
        </w:rPr>
        <w:t>яч</w:t>
      </w:r>
      <w:r w:rsidRPr="00E271D3">
        <w:rPr>
          <w:sz w:val="28"/>
          <w:szCs w:val="28"/>
          <w:lang w:val="uk-UA" w:eastAsia="en-US"/>
        </w:rPr>
        <w:t xml:space="preserve"> доларів США до 5 м</w:t>
      </w:r>
      <w:r>
        <w:rPr>
          <w:sz w:val="28"/>
          <w:szCs w:val="28"/>
          <w:lang w:val="uk-UA" w:eastAsia="en-US"/>
        </w:rPr>
        <w:t>ільйонів</w:t>
      </w:r>
      <w:r w:rsidRPr="00E271D3">
        <w:rPr>
          <w:sz w:val="28"/>
          <w:szCs w:val="28"/>
          <w:lang w:val="uk-UA" w:eastAsia="en-US"/>
        </w:rPr>
        <w:t xml:space="preserve"> доларів США</w:t>
      </w:r>
      <w:r>
        <w:rPr>
          <w:sz w:val="28"/>
          <w:szCs w:val="28"/>
          <w:lang w:val="uk-UA" w:eastAsia="en-US"/>
        </w:rPr>
        <w:t xml:space="preserve"> включно</w:t>
      </w:r>
      <w:r w:rsidRPr="00970C46">
        <w:rPr>
          <w:sz w:val="28"/>
          <w:szCs w:val="28"/>
          <w:lang w:val="uk-UA" w:eastAsia="en-US"/>
        </w:rPr>
        <w:t>”</w:t>
      </w:r>
      <w:r>
        <w:rPr>
          <w:sz w:val="28"/>
          <w:szCs w:val="28"/>
          <w:lang w:val="uk-UA" w:eastAsia="en-US"/>
        </w:rPr>
        <w:t>;</w:t>
      </w:r>
    </w:p>
    <w:p w:rsidR="00FC291A" w:rsidRDefault="00FC291A" w:rsidP="00FC291A">
      <w:pPr>
        <w:pStyle w:val="af4"/>
        <w:spacing w:before="0" w:after="0"/>
        <w:ind w:firstLine="709"/>
        <w:jc w:val="both"/>
        <w:rPr>
          <w:sz w:val="28"/>
          <w:szCs w:val="28"/>
          <w:lang w:val="uk-UA" w:eastAsia="en-US"/>
        </w:rPr>
      </w:pPr>
      <w:r>
        <w:rPr>
          <w:sz w:val="28"/>
          <w:szCs w:val="28"/>
          <w:lang w:val="uk-UA" w:eastAsia="en-US"/>
        </w:rPr>
        <w:t>в абзаці п’ятому:</w:t>
      </w:r>
    </w:p>
    <w:p w:rsidR="00FC291A" w:rsidRPr="002F6220" w:rsidRDefault="00FC291A" w:rsidP="00FC291A">
      <w:pPr>
        <w:pStyle w:val="af4"/>
        <w:spacing w:before="0" w:after="0"/>
        <w:ind w:firstLine="709"/>
        <w:jc w:val="both"/>
        <w:rPr>
          <w:sz w:val="28"/>
          <w:szCs w:val="28"/>
          <w:lang w:val="uk-UA" w:eastAsia="en-US"/>
        </w:rPr>
      </w:pPr>
      <w:r w:rsidRPr="00AB2FD5">
        <w:rPr>
          <w:sz w:val="28"/>
          <w:szCs w:val="28"/>
          <w:lang w:val="uk-UA" w:eastAsia="en-US"/>
        </w:rPr>
        <w:t>перш</w:t>
      </w:r>
      <w:r>
        <w:rPr>
          <w:sz w:val="28"/>
          <w:szCs w:val="28"/>
          <w:lang w:val="uk-UA" w:eastAsia="en-US"/>
        </w:rPr>
        <w:t>е</w:t>
      </w:r>
      <w:r w:rsidRPr="00AB2FD5">
        <w:rPr>
          <w:sz w:val="28"/>
          <w:szCs w:val="28"/>
          <w:lang w:val="uk-UA" w:eastAsia="en-US"/>
        </w:rPr>
        <w:t xml:space="preserve"> реченн</w:t>
      </w:r>
      <w:r>
        <w:rPr>
          <w:sz w:val="28"/>
          <w:szCs w:val="28"/>
          <w:lang w:val="uk-UA" w:eastAsia="en-US"/>
        </w:rPr>
        <w:t>я</w:t>
      </w:r>
      <w:r w:rsidRPr="00AB2FD5">
        <w:rPr>
          <w:sz w:val="28"/>
          <w:szCs w:val="28"/>
          <w:lang w:val="uk-UA" w:eastAsia="en-US"/>
        </w:rPr>
        <w:t xml:space="preserve"> </w:t>
      </w:r>
      <w:r>
        <w:rPr>
          <w:sz w:val="28"/>
          <w:szCs w:val="28"/>
          <w:lang w:val="uk-UA" w:eastAsia="en-US"/>
        </w:rPr>
        <w:t xml:space="preserve">викласти в такій редакції: </w:t>
      </w:r>
      <w:r w:rsidRPr="00AB2FD5">
        <w:rPr>
          <w:sz w:val="28"/>
          <w:szCs w:val="28"/>
          <w:lang w:val="uk-UA" w:eastAsia="en-US"/>
        </w:rPr>
        <w:t>“</w:t>
      </w:r>
      <w:r w:rsidRPr="002F6220">
        <w:rPr>
          <w:sz w:val="28"/>
          <w:szCs w:val="28"/>
          <w:lang w:val="uk-UA" w:eastAsia="en-US"/>
        </w:rPr>
        <w:t>Національний банк з 12.15 до 13.00 надсилає запит на банки, які укладають угоди на валютному ринку України, щодо отримання котирувань з купівлі/продажу одного мільйон</w:t>
      </w:r>
      <w:r w:rsidR="009D3203">
        <w:rPr>
          <w:sz w:val="28"/>
          <w:szCs w:val="28"/>
          <w:lang w:val="uk-UA" w:eastAsia="en-US"/>
        </w:rPr>
        <w:t>а</w:t>
      </w:r>
      <w:r w:rsidRPr="002F6220">
        <w:rPr>
          <w:sz w:val="28"/>
          <w:szCs w:val="28"/>
          <w:lang w:val="uk-UA" w:eastAsia="en-US"/>
        </w:rPr>
        <w:t xml:space="preserve"> доларів США через функціонали ТІС у разі виникнення умов, визначених в абзацах третьому та четвертому підпункту 1 пункту 7 розділу IIІ цього Положення, для застосування розрахунку офіційного курсу гривні до долара США за особливих умов</w:t>
      </w:r>
      <w:r>
        <w:rPr>
          <w:sz w:val="28"/>
          <w:szCs w:val="28"/>
          <w:lang w:val="uk-UA" w:eastAsia="en-US"/>
        </w:rPr>
        <w:t>.”</w:t>
      </w:r>
      <w:r w:rsidRPr="00AB2FD5">
        <w:rPr>
          <w:sz w:val="28"/>
          <w:szCs w:val="28"/>
          <w:lang w:val="uk-UA" w:eastAsia="en-US"/>
        </w:rPr>
        <w:t>;</w:t>
      </w:r>
    </w:p>
    <w:p w:rsidR="00FC291A" w:rsidRDefault="00FC291A" w:rsidP="00FC291A">
      <w:pPr>
        <w:pStyle w:val="af4"/>
        <w:spacing w:before="0" w:after="0"/>
        <w:ind w:firstLine="709"/>
        <w:jc w:val="both"/>
        <w:rPr>
          <w:sz w:val="28"/>
          <w:szCs w:val="28"/>
          <w:lang w:val="uk-UA" w:eastAsia="en-US"/>
        </w:rPr>
      </w:pPr>
      <w:r>
        <w:rPr>
          <w:sz w:val="28"/>
          <w:szCs w:val="28"/>
          <w:lang w:val="uk-UA" w:eastAsia="en-US"/>
        </w:rPr>
        <w:t xml:space="preserve">друге речення після слова </w:t>
      </w:r>
      <w:r w:rsidRPr="00970C46">
        <w:rPr>
          <w:sz w:val="28"/>
          <w:szCs w:val="28"/>
          <w:lang w:val="uk-UA" w:eastAsia="en-US"/>
        </w:rPr>
        <w:t>“</w:t>
      </w:r>
      <w:r>
        <w:rPr>
          <w:sz w:val="28"/>
          <w:szCs w:val="28"/>
          <w:lang w:val="uk-UA" w:eastAsia="en-US"/>
        </w:rPr>
        <w:t>Перелік</w:t>
      </w:r>
      <w:r w:rsidRPr="00E271D3">
        <w:rPr>
          <w:sz w:val="28"/>
          <w:szCs w:val="28"/>
          <w:lang w:val="uk-UA" w:eastAsia="en-US"/>
        </w:rPr>
        <w:t xml:space="preserve">” </w:t>
      </w:r>
      <w:r>
        <w:rPr>
          <w:sz w:val="28"/>
          <w:szCs w:val="28"/>
          <w:lang w:val="uk-UA" w:eastAsia="en-US"/>
        </w:rPr>
        <w:t xml:space="preserve">доповнити словом </w:t>
      </w:r>
      <w:r w:rsidRPr="00970C46">
        <w:rPr>
          <w:sz w:val="28"/>
          <w:szCs w:val="28"/>
          <w:lang w:val="uk-UA" w:eastAsia="en-US"/>
        </w:rPr>
        <w:t>“</w:t>
      </w:r>
      <w:r>
        <w:rPr>
          <w:sz w:val="28"/>
          <w:szCs w:val="28"/>
          <w:lang w:val="uk-UA" w:eastAsia="en-US"/>
        </w:rPr>
        <w:t>банків”;</w:t>
      </w:r>
    </w:p>
    <w:p w:rsidR="00FC291A" w:rsidRDefault="00FC291A" w:rsidP="00FC291A">
      <w:pPr>
        <w:pStyle w:val="af4"/>
        <w:spacing w:before="0" w:after="0"/>
        <w:ind w:firstLine="709"/>
        <w:jc w:val="both"/>
        <w:rPr>
          <w:sz w:val="28"/>
          <w:szCs w:val="28"/>
          <w:lang w:val="uk-UA" w:eastAsia="en-US"/>
        </w:rPr>
      </w:pPr>
      <w:r>
        <w:rPr>
          <w:sz w:val="28"/>
          <w:szCs w:val="28"/>
          <w:lang w:val="uk-UA" w:eastAsia="en-US"/>
        </w:rPr>
        <w:t>в абзаці шостому:</w:t>
      </w:r>
    </w:p>
    <w:p w:rsidR="00FC291A" w:rsidRPr="005A1DF3" w:rsidRDefault="00FC291A" w:rsidP="00FC291A">
      <w:pPr>
        <w:pStyle w:val="af4"/>
        <w:spacing w:before="0" w:after="0"/>
        <w:ind w:firstLine="709"/>
        <w:jc w:val="both"/>
        <w:rPr>
          <w:sz w:val="28"/>
          <w:szCs w:val="28"/>
          <w:lang w:val="uk-UA" w:eastAsia="en-US"/>
        </w:rPr>
      </w:pPr>
      <w:r>
        <w:rPr>
          <w:sz w:val="28"/>
          <w:szCs w:val="28"/>
          <w:lang w:val="uk-UA" w:eastAsia="en-US"/>
        </w:rPr>
        <w:lastRenderedPageBreak/>
        <w:t xml:space="preserve">у першому реченні слова та цифри </w:t>
      </w:r>
      <w:r w:rsidRPr="00970C46">
        <w:rPr>
          <w:sz w:val="28"/>
          <w:szCs w:val="28"/>
          <w:lang w:val="uk-UA" w:eastAsia="en-US"/>
        </w:rPr>
        <w:t>“</w:t>
      </w:r>
      <w:r w:rsidRPr="00BF44C8">
        <w:rPr>
          <w:sz w:val="28"/>
          <w:szCs w:val="28"/>
          <w:lang w:val="uk-UA" w:eastAsia="en-US"/>
        </w:rPr>
        <w:t>аналогічний запиту відповідно до абзацу п’ятого підпункту 1  пункту 7 розділу IIІ цього Положення</w:t>
      </w:r>
      <w:r w:rsidRPr="00E271D3">
        <w:rPr>
          <w:sz w:val="28"/>
          <w:szCs w:val="28"/>
          <w:lang w:val="uk-UA" w:eastAsia="en-US"/>
        </w:rPr>
        <w:t>”</w:t>
      </w:r>
      <w:r>
        <w:rPr>
          <w:sz w:val="28"/>
          <w:szCs w:val="28"/>
          <w:lang w:val="uk-UA" w:eastAsia="en-US"/>
        </w:rPr>
        <w:t xml:space="preserve"> замінити словами та цифрами </w:t>
      </w:r>
      <w:r w:rsidRPr="00970C46">
        <w:rPr>
          <w:sz w:val="28"/>
          <w:szCs w:val="28"/>
          <w:lang w:val="uk-UA" w:eastAsia="en-US"/>
        </w:rPr>
        <w:t>“</w:t>
      </w:r>
      <w:r w:rsidRPr="00BF44C8">
        <w:rPr>
          <w:sz w:val="28"/>
          <w:szCs w:val="28"/>
          <w:lang w:val="uk-UA" w:eastAsia="en-US"/>
        </w:rPr>
        <w:t>що за змістом відповідає запиту, зазначеному в абзаці п’ятому підпункту 1 пункту 7 розділу IIІ цього Положення</w:t>
      </w:r>
      <w:r w:rsidRPr="00E271D3">
        <w:rPr>
          <w:sz w:val="28"/>
          <w:szCs w:val="28"/>
          <w:lang w:val="uk-UA" w:eastAsia="en-US"/>
        </w:rPr>
        <w:t>”</w:t>
      </w:r>
      <w:r>
        <w:rPr>
          <w:sz w:val="28"/>
          <w:szCs w:val="28"/>
          <w:lang w:val="uk-UA" w:eastAsia="en-US"/>
        </w:rPr>
        <w:t>;</w:t>
      </w:r>
    </w:p>
    <w:p w:rsidR="00FC291A" w:rsidRDefault="00FC291A" w:rsidP="00FC291A">
      <w:pPr>
        <w:pStyle w:val="af4"/>
        <w:spacing w:before="0" w:after="0"/>
        <w:ind w:firstLine="709"/>
        <w:jc w:val="both"/>
        <w:rPr>
          <w:sz w:val="28"/>
          <w:szCs w:val="28"/>
          <w:lang w:val="uk-UA" w:eastAsia="en-US"/>
        </w:rPr>
      </w:pPr>
      <w:r w:rsidRPr="005A1DF3">
        <w:rPr>
          <w:sz w:val="28"/>
          <w:szCs w:val="28"/>
          <w:lang w:val="uk-UA" w:eastAsia="en-US"/>
        </w:rPr>
        <w:t>абзац після слова “Переліку” доповнити словом “банків”;</w:t>
      </w:r>
    </w:p>
    <w:p w:rsidR="00FC291A" w:rsidRPr="00F802EE" w:rsidRDefault="00FC291A" w:rsidP="00FC291A">
      <w:pPr>
        <w:pStyle w:val="af4"/>
        <w:spacing w:before="0" w:after="0"/>
        <w:jc w:val="both"/>
        <w:rPr>
          <w:strike/>
          <w:sz w:val="28"/>
          <w:szCs w:val="28"/>
          <w:lang w:val="uk-UA"/>
        </w:rPr>
      </w:pPr>
    </w:p>
    <w:p w:rsidR="00FC291A" w:rsidRDefault="00FC291A" w:rsidP="00FC291A">
      <w:pPr>
        <w:pStyle w:val="af4"/>
        <w:spacing w:before="0" w:after="0"/>
        <w:ind w:firstLine="709"/>
        <w:jc w:val="both"/>
        <w:rPr>
          <w:sz w:val="28"/>
          <w:szCs w:val="28"/>
          <w:lang w:val="uk-UA" w:eastAsia="en-US"/>
        </w:rPr>
      </w:pPr>
      <w:r>
        <w:rPr>
          <w:sz w:val="28"/>
          <w:szCs w:val="28"/>
          <w:lang w:val="uk-UA" w:eastAsia="en-US"/>
        </w:rPr>
        <w:t xml:space="preserve">3) пункт 11 викласти в такій редакції: </w:t>
      </w:r>
    </w:p>
    <w:p w:rsidR="00FC291A" w:rsidRPr="002F6220" w:rsidRDefault="00FC291A" w:rsidP="00FC291A">
      <w:pPr>
        <w:pStyle w:val="af4"/>
        <w:spacing w:before="0" w:after="0"/>
        <w:ind w:firstLine="709"/>
        <w:jc w:val="both"/>
        <w:rPr>
          <w:sz w:val="28"/>
          <w:szCs w:val="28"/>
          <w:lang w:val="uk-UA" w:eastAsia="en-US"/>
        </w:rPr>
      </w:pPr>
      <w:r w:rsidRPr="0094351F">
        <w:rPr>
          <w:sz w:val="28"/>
          <w:szCs w:val="28"/>
          <w:lang w:val="uk-UA" w:eastAsia="en-US"/>
        </w:rPr>
        <w:t>“</w:t>
      </w:r>
      <w:r>
        <w:rPr>
          <w:sz w:val="28"/>
          <w:szCs w:val="28"/>
          <w:lang w:val="uk-UA" w:eastAsia="en-US"/>
        </w:rPr>
        <w:t xml:space="preserve">11. </w:t>
      </w:r>
      <w:r w:rsidRPr="002F6220">
        <w:rPr>
          <w:sz w:val="28"/>
          <w:szCs w:val="28"/>
          <w:lang w:val="uk-UA" w:eastAsia="en-US"/>
        </w:rPr>
        <w:t xml:space="preserve">Національний банк </w:t>
      </w:r>
      <w:r w:rsidR="009D3203">
        <w:rPr>
          <w:sz w:val="28"/>
          <w:szCs w:val="28"/>
          <w:lang w:val="uk-UA" w:eastAsia="en-US"/>
        </w:rPr>
        <w:t>у</w:t>
      </w:r>
      <w:r w:rsidR="009D3203" w:rsidRPr="002F6220">
        <w:rPr>
          <w:sz w:val="28"/>
          <w:szCs w:val="28"/>
          <w:lang w:val="uk-UA" w:eastAsia="en-US"/>
        </w:rPr>
        <w:t xml:space="preserve"> </w:t>
      </w:r>
      <w:r w:rsidRPr="002F6220">
        <w:rPr>
          <w:sz w:val="28"/>
          <w:szCs w:val="28"/>
          <w:lang w:val="uk-UA" w:eastAsia="en-US"/>
        </w:rPr>
        <w:t>разі прийняття Кабінетом Міністрів України рішення щодо перенесення робочих днів має право:</w:t>
      </w:r>
    </w:p>
    <w:p w:rsidR="00FC291A" w:rsidRDefault="00FC291A" w:rsidP="00FC291A">
      <w:pPr>
        <w:pStyle w:val="af4"/>
        <w:spacing w:before="0" w:after="0"/>
        <w:ind w:firstLine="709"/>
        <w:jc w:val="both"/>
        <w:rPr>
          <w:sz w:val="28"/>
          <w:szCs w:val="28"/>
          <w:lang w:val="uk-UA" w:eastAsia="en-US"/>
        </w:rPr>
      </w:pPr>
    </w:p>
    <w:p w:rsidR="00FC291A" w:rsidRDefault="00FC291A" w:rsidP="00FC291A">
      <w:pPr>
        <w:pStyle w:val="af4"/>
        <w:spacing w:before="0" w:after="0"/>
        <w:ind w:firstLine="709"/>
        <w:jc w:val="both"/>
        <w:rPr>
          <w:sz w:val="28"/>
          <w:szCs w:val="28"/>
          <w:lang w:val="uk-UA" w:eastAsia="en-US"/>
        </w:rPr>
      </w:pPr>
      <w:r>
        <w:rPr>
          <w:sz w:val="28"/>
          <w:szCs w:val="28"/>
          <w:lang w:val="uk-UA" w:eastAsia="en-US"/>
        </w:rPr>
        <w:t xml:space="preserve">1) </w:t>
      </w:r>
      <w:r w:rsidR="009D3203">
        <w:rPr>
          <w:sz w:val="28"/>
          <w:szCs w:val="28"/>
          <w:lang w:val="uk-UA" w:eastAsia="en-US"/>
        </w:rPr>
        <w:t>у</w:t>
      </w:r>
      <w:r w:rsidR="009D3203" w:rsidRPr="002F6220">
        <w:rPr>
          <w:sz w:val="28"/>
          <w:szCs w:val="28"/>
          <w:lang w:val="uk-UA" w:eastAsia="en-US"/>
        </w:rPr>
        <w:t xml:space="preserve">становлювати </w:t>
      </w:r>
      <w:r w:rsidRPr="002F6220">
        <w:rPr>
          <w:sz w:val="28"/>
          <w:szCs w:val="28"/>
          <w:lang w:val="uk-UA" w:eastAsia="en-US"/>
        </w:rPr>
        <w:t>на рівні попереднього робочого дня офіційний курс гривні до іноземних валют, до яких Національний банк щоденно встановлює офіційний курс гривні за переліком відповідно до підпункту 1 пункту 5 розділу ІІ цього Положення;</w:t>
      </w:r>
    </w:p>
    <w:p w:rsidR="00FC291A" w:rsidRPr="002F6220" w:rsidRDefault="00FC291A" w:rsidP="00FC291A">
      <w:pPr>
        <w:pStyle w:val="af4"/>
        <w:spacing w:before="0" w:after="0"/>
        <w:ind w:firstLine="709"/>
        <w:jc w:val="both"/>
        <w:rPr>
          <w:sz w:val="28"/>
          <w:szCs w:val="28"/>
          <w:lang w:val="uk-UA" w:eastAsia="en-US"/>
        </w:rPr>
      </w:pPr>
    </w:p>
    <w:p w:rsidR="00FC291A" w:rsidRDefault="00FC291A" w:rsidP="00FC291A">
      <w:pPr>
        <w:pStyle w:val="af4"/>
        <w:spacing w:before="0" w:after="0"/>
        <w:ind w:firstLine="709"/>
        <w:jc w:val="both"/>
        <w:rPr>
          <w:sz w:val="28"/>
          <w:szCs w:val="28"/>
          <w:lang w:val="uk-UA" w:eastAsia="en-US"/>
        </w:rPr>
      </w:pPr>
      <w:r>
        <w:rPr>
          <w:sz w:val="28"/>
          <w:szCs w:val="28"/>
          <w:lang w:val="uk-UA" w:eastAsia="en-US"/>
        </w:rPr>
        <w:t xml:space="preserve">2) </w:t>
      </w:r>
      <w:r w:rsidRPr="002F6220">
        <w:rPr>
          <w:sz w:val="28"/>
          <w:szCs w:val="28"/>
          <w:lang w:val="uk-UA" w:eastAsia="en-US"/>
        </w:rPr>
        <w:t>розраховувати на рівні попереднього робочого дня облікову ціну банківських металів, до яких Національний банк щоденно розраховує облікову ціну за переліком відповідно до підпункту 3 пункту 5 розділу ІІ цього Положення</w:t>
      </w:r>
      <w:r w:rsidRPr="00923B66">
        <w:rPr>
          <w:sz w:val="28"/>
          <w:szCs w:val="28"/>
          <w:lang w:val="uk-UA" w:eastAsia="en-US"/>
        </w:rPr>
        <w:t>.</w:t>
      </w:r>
      <w:r w:rsidRPr="0094351F">
        <w:rPr>
          <w:sz w:val="28"/>
          <w:szCs w:val="28"/>
          <w:lang w:val="uk-UA" w:eastAsia="en-US"/>
        </w:rPr>
        <w:t>”</w:t>
      </w:r>
      <w:r>
        <w:rPr>
          <w:sz w:val="28"/>
          <w:szCs w:val="28"/>
          <w:lang w:val="uk-UA" w:eastAsia="en-US"/>
        </w:rPr>
        <w:t xml:space="preserve">; </w:t>
      </w:r>
    </w:p>
    <w:p w:rsidR="00FC291A" w:rsidRDefault="00FC291A" w:rsidP="00FC291A">
      <w:pPr>
        <w:pStyle w:val="af4"/>
        <w:spacing w:before="0" w:after="0"/>
        <w:ind w:firstLine="709"/>
        <w:jc w:val="both"/>
        <w:rPr>
          <w:sz w:val="28"/>
          <w:szCs w:val="28"/>
          <w:lang w:val="uk-UA" w:eastAsia="en-US"/>
        </w:rPr>
      </w:pPr>
    </w:p>
    <w:p w:rsidR="00FC291A" w:rsidRDefault="00FC291A" w:rsidP="00FC291A">
      <w:pPr>
        <w:pStyle w:val="af4"/>
        <w:spacing w:before="0" w:after="0"/>
        <w:ind w:firstLine="709"/>
        <w:jc w:val="both"/>
        <w:rPr>
          <w:sz w:val="28"/>
          <w:szCs w:val="28"/>
          <w:lang w:val="uk-UA" w:eastAsia="en-US"/>
        </w:rPr>
      </w:pPr>
      <w:r>
        <w:rPr>
          <w:sz w:val="28"/>
          <w:szCs w:val="28"/>
          <w:lang w:val="uk-UA" w:eastAsia="en-US"/>
        </w:rPr>
        <w:t>4</w:t>
      </w:r>
      <w:r w:rsidRPr="00C01E85">
        <w:rPr>
          <w:sz w:val="28"/>
          <w:szCs w:val="28"/>
          <w:lang w:val="uk-UA" w:eastAsia="en-US"/>
        </w:rPr>
        <w:t xml:space="preserve">) </w:t>
      </w:r>
      <w:r>
        <w:rPr>
          <w:sz w:val="28"/>
          <w:szCs w:val="28"/>
          <w:lang w:val="uk-UA" w:eastAsia="en-US"/>
        </w:rPr>
        <w:t>в</w:t>
      </w:r>
      <w:r w:rsidRPr="00C01E85">
        <w:rPr>
          <w:sz w:val="28"/>
          <w:szCs w:val="28"/>
          <w:lang w:val="uk-UA" w:eastAsia="en-US"/>
        </w:rPr>
        <w:t xml:space="preserve"> абзаці першому </w:t>
      </w:r>
      <w:r>
        <w:rPr>
          <w:sz w:val="28"/>
          <w:szCs w:val="28"/>
          <w:lang w:val="uk-UA" w:eastAsia="en-US"/>
        </w:rPr>
        <w:t xml:space="preserve">пункту 13 </w:t>
      </w:r>
      <w:r w:rsidRPr="00C01E85">
        <w:rPr>
          <w:sz w:val="28"/>
          <w:szCs w:val="28"/>
          <w:lang w:val="uk-UA" w:eastAsia="en-US"/>
        </w:rPr>
        <w:t>цифри “16.00” замінити цифрами “15.30”</w:t>
      </w:r>
      <w:r>
        <w:rPr>
          <w:sz w:val="28"/>
          <w:szCs w:val="28"/>
          <w:lang w:val="uk-UA" w:eastAsia="en-US"/>
        </w:rPr>
        <w:t>.</w:t>
      </w:r>
    </w:p>
    <w:p w:rsidR="00FC291A" w:rsidRDefault="00FC291A" w:rsidP="00FC291A">
      <w:pPr>
        <w:pStyle w:val="af4"/>
        <w:spacing w:before="0" w:after="0"/>
        <w:ind w:firstLine="709"/>
        <w:jc w:val="both"/>
        <w:rPr>
          <w:sz w:val="28"/>
          <w:szCs w:val="28"/>
          <w:lang w:val="uk-UA" w:eastAsia="en-US"/>
        </w:rPr>
      </w:pPr>
    </w:p>
    <w:p w:rsidR="00FC291A" w:rsidRPr="003275BD" w:rsidRDefault="00FC291A" w:rsidP="00FC291A">
      <w:pPr>
        <w:pStyle w:val="af4"/>
        <w:spacing w:before="0" w:after="0"/>
        <w:ind w:firstLine="709"/>
        <w:jc w:val="both"/>
        <w:rPr>
          <w:sz w:val="28"/>
          <w:szCs w:val="28"/>
          <w:lang w:val="uk-UA" w:eastAsia="en-US"/>
        </w:rPr>
      </w:pPr>
      <w:r w:rsidRPr="00463A5F">
        <w:rPr>
          <w:sz w:val="28"/>
          <w:szCs w:val="28"/>
          <w:lang w:eastAsia="en-US"/>
        </w:rPr>
        <w:t>3</w:t>
      </w:r>
      <w:r>
        <w:rPr>
          <w:sz w:val="28"/>
          <w:szCs w:val="28"/>
          <w:lang w:val="uk-UA" w:eastAsia="en-US"/>
        </w:rPr>
        <w:t xml:space="preserve">. У розділі </w:t>
      </w:r>
      <w:r>
        <w:rPr>
          <w:sz w:val="28"/>
          <w:szCs w:val="28"/>
          <w:lang w:val="en-US" w:eastAsia="en-US"/>
        </w:rPr>
        <w:t>IV</w:t>
      </w:r>
      <w:r>
        <w:rPr>
          <w:sz w:val="28"/>
          <w:szCs w:val="28"/>
          <w:lang w:val="uk-UA" w:eastAsia="en-US"/>
        </w:rPr>
        <w:t>:</w:t>
      </w:r>
    </w:p>
    <w:p w:rsidR="00FC291A" w:rsidRDefault="00FC291A" w:rsidP="00FC291A">
      <w:pPr>
        <w:pStyle w:val="af4"/>
        <w:spacing w:before="0" w:after="0"/>
        <w:ind w:firstLine="709"/>
        <w:jc w:val="both"/>
        <w:rPr>
          <w:sz w:val="28"/>
          <w:szCs w:val="28"/>
          <w:lang w:val="uk-UA" w:eastAsia="en-US"/>
        </w:rPr>
      </w:pPr>
    </w:p>
    <w:p w:rsidR="00FC291A" w:rsidRDefault="00FC291A" w:rsidP="00FC291A">
      <w:pPr>
        <w:pStyle w:val="af4"/>
        <w:spacing w:before="0" w:after="0"/>
        <w:ind w:firstLine="709"/>
        <w:jc w:val="both"/>
        <w:rPr>
          <w:sz w:val="28"/>
          <w:szCs w:val="28"/>
          <w:lang w:val="uk-UA" w:eastAsia="en-US"/>
        </w:rPr>
      </w:pPr>
      <w:r>
        <w:rPr>
          <w:sz w:val="28"/>
          <w:szCs w:val="28"/>
          <w:lang w:val="uk-UA" w:eastAsia="en-US"/>
        </w:rPr>
        <w:t>1) пункти 15, 16 викласти в такій редакції:</w:t>
      </w:r>
    </w:p>
    <w:p w:rsidR="00FC291A" w:rsidRPr="002F6220" w:rsidRDefault="00FC291A" w:rsidP="00FC291A">
      <w:pPr>
        <w:pStyle w:val="af4"/>
        <w:spacing w:before="0" w:after="0"/>
        <w:ind w:firstLine="709"/>
        <w:jc w:val="both"/>
        <w:rPr>
          <w:sz w:val="28"/>
          <w:szCs w:val="28"/>
          <w:lang w:val="uk-UA" w:eastAsia="en-US"/>
        </w:rPr>
      </w:pPr>
      <w:r w:rsidRPr="00AE05B3">
        <w:rPr>
          <w:sz w:val="28"/>
          <w:szCs w:val="28"/>
          <w:lang w:val="uk-UA" w:eastAsia="en-US"/>
        </w:rPr>
        <w:t>“</w:t>
      </w:r>
      <w:r w:rsidRPr="002F6220">
        <w:rPr>
          <w:sz w:val="28"/>
          <w:szCs w:val="28"/>
          <w:lang w:val="uk-UA" w:eastAsia="en-US"/>
        </w:rPr>
        <w:t>15. Розрахунок довідкового значення курсу гривні до долара США здійснюється кожного робочого дня відповідно до розрахунку офіційного курсу гривні до долара США і довідкового значення курсу гривні до долара США (додаток 1) або розрахунку офіційного курсу гривні до долара США і довідкового значення курсу гривні до долара США за особливих умов (додаток 2).</w:t>
      </w:r>
    </w:p>
    <w:p w:rsidR="00FC291A" w:rsidRPr="002F6220" w:rsidRDefault="00FC291A" w:rsidP="00FC291A">
      <w:pPr>
        <w:pStyle w:val="af4"/>
        <w:spacing w:before="0" w:after="0"/>
        <w:ind w:firstLine="709"/>
        <w:jc w:val="both"/>
        <w:rPr>
          <w:sz w:val="28"/>
          <w:szCs w:val="28"/>
          <w:lang w:val="uk-UA" w:eastAsia="en-US"/>
        </w:rPr>
      </w:pPr>
      <w:r w:rsidRPr="002F6220">
        <w:rPr>
          <w:sz w:val="28"/>
          <w:szCs w:val="28"/>
          <w:lang w:val="uk-UA" w:eastAsia="en-US"/>
        </w:rPr>
        <w:t>Розрахунок довідкового значення курсу гривні до долара США за особливих умов застосовується, якщо:</w:t>
      </w:r>
    </w:p>
    <w:p w:rsidR="00FC291A" w:rsidRPr="002F6220" w:rsidRDefault="00FC291A" w:rsidP="00FC291A">
      <w:pPr>
        <w:pStyle w:val="af4"/>
        <w:spacing w:before="0" w:after="0"/>
        <w:ind w:firstLine="709"/>
        <w:jc w:val="both"/>
        <w:rPr>
          <w:sz w:val="28"/>
          <w:szCs w:val="28"/>
          <w:lang w:val="uk-UA" w:eastAsia="en-US"/>
        </w:rPr>
      </w:pPr>
      <w:r w:rsidRPr="002F6220">
        <w:rPr>
          <w:sz w:val="28"/>
          <w:szCs w:val="28"/>
          <w:lang w:val="uk-UA" w:eastAsia="en-US"/>
        </w:rPr>
        <w:t>кількість угод з купівлі/продажу долара США на умовах “</w:t>
      </w:r>
      <w:proofErr w:type="spellStart"/>
      <w:r w:rsidRPr="002F6220">
        <w:rPr>
          <w:sz w:val="28"/>
          <w:szCs w:val="28"/>
          <w:lang w:val="uk-UA" w:eastAsia="en-US"/>
        </w:rPr>
        <w:t>тод</w:t>
      </w:r>
      <w:proofErr w:type="spellEnd"/>
      <w:r w:rsidRPr="002F6220">
        <w:rPr>
          <w:sz w:val="28"/>
          <w:szCs w:val="28"/>
          <w:lang w:val="uk-UA" w:eastAsia="en-US"/>
        </w:rPr>
        <w:t>”, “том” і “</w:t>
      </w:r>
      <w:proofErr w:type="spellStart"/>
      <w:r w:rsidRPr="002F6220">
        <w:rPr>
          <w:sz w:val="28"/>
          <w:szCs w:val="28"/>
          <w:lang w:val="uk-UA" w:eastAsia="en-US"/>
        </w:rPr>
        <w:t>спот</w:t>
      </w:r>
      <w:proofErr w:type="spellEnd"/>
      <w:r w:rsidRPr="002F6220">
        <w:rPr>
          <w:sz w:val="28"/>
          <w:szCs w:val="28"/>
          <w:lang w:val="uk-UA" w:eastAsia="en-US"/>
        </w:rPr>
        <w:t>” з обсягом від 100 тисяч доларів США до 5 мільйонів доларів США включно, які в день розрахунку довідкового значення курсу укладалися  банками на валютному ринку України з іншими банками та з Національним банком та інформація про які надавалася Національному банку ТІС через відповідні канали обміну інформацією до 11.30 цього самого дня, є менше або дорівнює 10% від середньоденного значення аналогічного показника за попередній плинний місяць;</w:t>
      </w:r>
    </w:p>
    <w:p w:rsidR="00FC291A" w:rsidRPr="002F6220" w:rsidRDefault="00FC291A" w:rsidP="00FC291A">
      <w:pPr>
        <w:pStyle w:val="af4"/>
        <w:spacing w:before="0" w:after="0"/>
        <w:ind w:firstLine="709"/>
        <w:jc w:val="both"/>
        <w:rPr>
          <w:sz w:val="28"/>
          <w:szCs w:val="28"/>
          <w:lang w:val="uk-UA" w:eastAsia="en-US"/>
        </w:rPr>
      </w:pPr>
      <w:r w:rsidRPr="002F6220">
        <w:rPr>
          <w:sz w:val="28"/>
          <w:szCs w:val="28"/>
          <w:lang w:val="uk-UA" w:eastAsia="en-US"/>
        </w:rPr>
        <w:t xml:space="preserve">унаслідок події операційного ризику на етапах отримання та/або обробки інформації з ТІС про угоди, визначені в абзаці третьому пункту 15 розділу IV </w:t>
      </w:r>
      <w:r w:rsidRPr="002F6220">
        <w:rPr>
          <w:sz w:val="28"/>
          <w:szCs w:val="28"/>
          <w:lang w:val="uk-UA" w:eastAsia="en-US"/>
        </w:rPr>
        <w:lastRenderedPageBreak/>
        <w:t>цього Положення, кількість угод, інформація про які є доступною, станом на 11.30 є меншою або дорівнює 10% від середньоденного значення аналогічного показника за попередній плинний місяць.</w:t>
      </w:r>
    </w:p>
    <w:p w:rsidR="00FC291A" w:rsidRPr="002F6220" w:rsidRDefault="00FC291A" w:rsidP="00FC291A">
      <w:pPr>
        <w:pStyle w:val="af4"/>
        <w:spacing w:before="0" w:after="0"/>
        <w:ind w:firstLine="709"/>
        <w:jc w:val="both"/>
        <w:rPr>
          <w:sz w:val="28"/>
          <w:szCs w:val="28"/>
          <w:lang w:val="uk-UA" w:eastAsia="en-US"/>
        </w:rPr>
      </w:pPr>
      <w:r w:rsidRPr="002F6220">
        <w:rPr>
          <w:sz w:val="28"/>
          <w:szCs w:val="28"/>
          <w:lang w:val="uk-UA" w:eastAsia="en-US"/>
        </w:rPr>
        <w:t>Національний банк з 11.35 до 12.00 надсилає запит на банки, які укладають угоди на валютному ринку України, щодо отримання котирувань з купівлі/продажу одного мільйон</w:t>
      </w:r>
      <w:r w:rsidR="009D3203">
        <w:rPr>
          <w:sz w:val="28"/>
          <w:szCs w:val="28"/>
          <w:lang w:val="uk-UA" w:eastAsia="en-US"/>
        </w:rPr>
        <w:t>а</w:t>
      </w:r>
      <w:r w:rsidRPr="002F6220">
        <w:rPr>
          <w:sz w:val="28"/>
          <w:szCs w:val="28"/>
          <w:lang w:val="uk-UA" w:eastAsia="en-US"/>
        </w:rPr>
        <w:t xml:space="preserve"> доларів США через функціонали ТІС у разі виникнення умов, визначених у абзацах третьому та четвертому пункту 15 розділу IV цього Положення, для застосування розрахунку довідкового значення курсу гривні до долара США за особливих умов. Запит здійснюється на 20 банків, що входять до Переліку банків.</w:t>
      </w:r>
    </w:p>
    <w:p w:rsidR="00FC291A" w:rsidRPr="002F6220" w:rsidRDefault="00FC291A" w:rsidP="00FC291A">
      <w:pPr>
        <w:pStyle w:val="af4"/>
        <w:spacing w:before="0" w:after="0"/>
        <w:ind w:firstLine="709"/>
        <w:jc w:val="both"/>
        <w:rPr>
          <w:sz w:val="28"/>
          <w:szCs w:val="28"/>
          <w:lang w:val="uk-UA" w:eastAsia="en-US"/>
        </w:rPr>
      </w:pPr>
      <w:r w:rsidRPr="002F6220">
        <w:rPr>
          <w:sz w:val="28"/>
          <w:szCs w:val="28"/>
          <w:lang w:val="uk-UA" w:eastAsia="en-US"/>
        </w:rPr>
        <w:t>Національний банк здійснює запит, що за змістом  відповідає запиту, зазначеному в абзаці п’ятому пункту 15 розділу IV цього Положення, засобами телефонного зв’язку на 10 банків з Переліку банків, якщо за результатами попереднього запиту відповідь з наданням курсових котирувань з купівлі та/або продажу долара США отримана менше ніж від 5 банків або якщо жодна з ТІС з будь-яких причин не працює. Запит здійснюється на перші 10 банків з Переліку банків, якщо день здійснення такого запиту припадає на парне число, а  якщо на непарне – на інші 10 банків з Переліку банків.</w:t>
      </w:r>
    </w:p>
    <w:p w:rsidR="00FC291A" w:rsidRPr="002F6220" w:rsidRDefault="00FC291A" w:rsidP="00FC291A">
      <w:pPr>
        <w:pStyle w:val="af4"/>
        <w:spacing w:before="0" w:after="0"/>
        <w:ind w:firstLine="709"/>
        <w:jc w:val="both"/>
        <w:rPr>
          <w:sz w:val="28"/>
          <w:szCs w:val="28"/>
          <w:lang w:val="uk-UA" w:eastAsia="en-US"/>
        </w:rPr>
      </w:pPr>
      <w:r w:rsidRPr="002F6220">
        <w:rPr>
          <w:sz w:val="28"/>
          <w:szCs w:val="28"/>
          <w:lang w:val="uk-UA" w:eastAsia="en-US"/>
        </w:rPr>
        <w:t>Національний банк, якщо відповіді з наданням курсових котирувань з купівлі та/або продажу долара США після запитів, відправлених відповідно до абзаців п’ятого та шостого пункту 15 розділу IV цього Положення, отримані не менше ніж від 5 банків, має право використовувати отримані котирування для розрахунку довідкового значення курсу до долара США відповідно до розрахунку довідкового значення курсу гривні до долара США за особливих умов (додаток 2).</w:t>
      </w:r>
    </w:p>
    <w:p w:rsidR="00FC291A" w:rsidRDefault="00FC291A" w:rsidP="00FC291A">
      <w:pPr>
        <w:pStyle w:val="af4"/>
        <w:spacing w:before="0" w:after="0"/>
        <w:ind w:firstLine="709"/>
        <w:jc w:val="both"/>
        <w:rPr>
          <w:sz w:val="28"/>
          <w:szCs w:val="28"/>
          <w:lang w:val="uk-UA" w:eastAsia="en-US"/>
        </w:rPr>
      </w:pPr>
    </w:p>
    <w:p w:rsidR="00FC291A" w:rsidRDefault="00FC291A" w:rsidP="00FC291A">
      <w:pPr>
        <w:pStyle w:val="af4"/>
        <w:spacing w:before="0" w:after="0"/>
        <w:ind w:firstLine="709"/>
        <w:jc w:val="both"/>
        <w:rPr>
          <w:sz w:val="28"/>
          <w:szCs w:val="28"/>
          <w:lang w:val="uk-UA" w:eastAsia="en-US"/>
        </w:rPr>
      </w:pPr>
      <w:r w:rsidRPr="002F6220">
        <w:rPr>
          <w:sz w:val="28"/>
          <w:szCs w:val="28"/>
          <w:lang w:val="uk-UA" w:eastAsia="en-US"/>
        </w:rPr>
        <w:t xml:space="preserve">16. Національний банк </w:t>
      </w:r>
      <w:r w:rsidR="009D3203">
        <w:rPr>
          <w:sz w:val="28"/>
          <w:szCs w:val="28"/>
          <w:lang w:val="uk-UA" w:eastAsia="en-US"/>
        </w:rPr>
        <w:t>у</w:t>
      </w:r>
      <w:r w:rsidR="009D3203" w:rsidRPr="002F6220">
        <w:rPr>
          <w:sz w:val="28"/>
          <w:szCs w:val="28"/>
          <w:lang w:val="uk-UA" w:eastAsia="en-US"/>
        </w:rPr>
        <w:t xml:space="preserve"> </w:t>
      </w:r>
      <w:r w:rsidRPr="002F6220">
        <w:rPr>
          <w:sz w:val="28"/>
          <w:szCs w:val="28"/>
          <w:lang w:val="uk-UA" w:eastAsia="en-US"/>
        </w:rPr>
        <w:t>разі прийняття Кабінетом Міністрів України рішення щодо перенесення робочих днів має право розраховувати довідкове значення курсу гривні до долара США на визначену дату на рівні, який було розрахо</w:t>
      </w:r>
      <w:r>
        <w:rPr>
          <w:sz w:val="28"/>
          <w:szCs w:val="28"/>
          <w:lang w:val="uk-UA" w:eastAsia="en-US"/>
        </w:rPr>
        <w:t>вано в попередній робочий день.”;</w:t>
      </w:r>
    </w:p>
    <w:p w:rsidR="00FC291A" w:rsidRDefault="00FC291A" w:rsidP="00FC291A">
      <w:pPr>
        <w:pStyle w:val="af4"/>
        <w:spacing w:before="0" w:after="0"/>
        <w:ind w:firstLine="709"/>
        <w:jc w:val="both"/>
        <w:rPr>
          <w:sz w:val="28"/>
          <w:szCs w:val="28"/>
          <w:lang w:val="uk-UA" w:eastAsia="en-US"/>
        </w:rPr>
      </w:pPr>
    </w:p>
    <w:p w:rsidR="00FC291A" w:rsidRDefault="00FC291A" w:rsidP="00FC291A">
      <w:pPr>
        <w:pStyle w:val="af4"/>
        <w:spacing w:before="0" w:after="0"/>
        <w:ind w:firstLine="709"/>
        <w:jc w:val="both"/>
        <w:rPr>
          <w:sz w:val="28"/>
          <w:szCs w:val="28"/>
          <w:lang w:val="uk-UA" w:eastAsia="en-US"/>
        </w:rPr>
      </w:pPr>
      <w:r>
        <w:rPr>
          <w:sz w:val="28"/>
          <w:szCs w:val="28"/>
          <w:lang w:val="uk-UA" w:eastAsia="en-US"/>
        </w:rPr>
        <w:t>2</w:t>
      </w:r>
      <w:r w:rsidRPr="00AE05B3">
        <w:rPr>
          <w:sz w:val="28"/>
          <w:szCs w:val="28"/>
          <w:lang w:val="uk-UA" w:eastAsia="en-US"/>
        </w:rPr>
        <w:t xml:space="preserve">) розділ доповнити </w:t>
      </w:r>
      <w:r>
        <w:rPr>
          <w:sz w:val="28"/>
          <w:szCs w:val="28"/>
          <w:lang w:val="uk-UA" w:eastAsia="en-US"/>
        </w:rPr>
        <w:t>новим</w:t>
      </w:r>
      <w:r w:rsidRPr="00AE05B3">
        <w:rPr>
          <w:sz w:val="28"/>
          <w:szCs w:val="28"/>
          <w:lang w:val="uk-UA" w:eastAsia="en-US"/>
        </w:rPr>
        <w:t xml:space="preserve"> пункт</w:t>
      </w:r>
      <w:r>
        <w:rPr>
          <w:sz w:val="28"/>
          <w:szCs w:val="28"/>
          <w:lang w:val="uk-UA" w:eastAsia="en-US"/>
        </w:rPr>
        <w:t xml:space="preserve">ом </w:t>
      </w:r>
      <w:r w:rsidRPr="00AE05B3">
        <w:rPr>
          <w:sz w:val="28"/>
          <w:szCs w:val="28"/>
          <w:lang w:val="uk-UA" w:eastAsia="en-US"/>
        </w:rPr>
        <w:t>такого змісту:</w:t>
      </w:r>
    </w:p>
    <w:p w:rsidR="00FC291A" w:rsidRPr="00491819" w:rsidRDefault="00FC291A" w:rsidP="00FC291A">
      <w:pPr>
        <w:pStyle w:val="af4"/>
        <w:spacing w:before="0" w:after="0"/>
        <w:ind w:firstLine="709"/>
        <w:jc w:val="both"/>
        <w:rPr>
          <w:sz w:val="28"/>
          <w:szCs w:val="28"/>
          <w:lang w:val="uk-UA" w:eastAsia="en-US"/>
        </w:rPr>
      </w:pPr>
      <w:r w:rsidRPr="00AE05B3">
        <w:rPr>
          <w:sz w:val="28"/>
          <w:szCs w:val="28"/>
          <w:lang w:val="uk-UA" w:eastAsia="en-US"/>
        </w:rPr>
        <w:t>“</w:t>
      </w:r>
      <w:r w:rsidRPr="00943A83">
        <w:rPr>
          <w:sz w:val="28"/>
          <w:szCs w:val="28"/>
          <w:lang w:val="uk-UA" w:eastAsia="en-US"/>
        </w:rPr>
        <w:t xml:space="preserve">17. </w:t>
      </w:r>
      <w:r w:rsidRPr="00491819">
        <w:rPr>
          <w:sz w:val="28"/>
          <w:szCs w:val="28"/>
          <w:lang w:val="uk-UA" w:eastAsia="en-US"/>
        </w:rPr>
        <w:t xml:space="preserve">Інформація про розраховане довідкове значення курсу гривні до долара США оприлюднюється на сторінці офіційного Інтернет-представництва Національного банку до 12.30 у день його розрахунку. </w:t>
      </w:r>
    </w:p>
    <w:p w:rsidR="009E091C" w:rsidRDefault="00FC291A" w:rsidP="00FC291A">
      <w:pPr>
        <w:pStyle w:val="af4"/>
        <w:spacing w:before="0" w:after="0"/>
        <w:ind w:firstLine="709"/>
        <w:jc w:val="both"/>
        <w:rPr>
          <w:sz w:val="28"/>
          <w:szCs w:val="28"/>
          <w:lang w:val="uk-UA" w:eastAsia="en-US"/>
        </w:rPr>
        <w:sectPr w:rsidR="009E091C" w:rsidSect="009E091C">
          <w:headerReference w:type="default" r:id="rId16"/>
          <w:headerReference w:type="first" r:id="rId17"/>
          <w:pgSz w:w="11906" w:h="16838" w:code="9"/>
          <w:pgMar w:top="567" w:right="567" w:bottom="1701" w:left="1701" w:header="567" w:footer="567" w:gutter="0"/>
          <w:pgNumType w:start="1"/>
          <w:cols w:space="708"/>
          <w:titlePg/>
          <w:docGrid w:linePitch="381"/>
        </w:sectPr>
      </w:pPr>
      <w:r w:rsidRPr="00491819">
        <w:rPr>
          <w:sz w:val="28"/>
          <w:szCs w:val="28"/>
          <w:lang w:val="uk-UA" w:eastAsia="en-US"/>
        </w:rPr>
        <w:t>Національний банк, якщо довідкове значення курсу гривні до долара США було розраховане з використанням розрахунку довідкового значення курсу гривні до долара США за особливих умов (додаток 2), повідомляє про це на сторінці офіційного Інтернет-представництва Національного банку одночасно з оприлюдненням інформації про розраховане значення цього індикатора.</w:t>
      </w:r>
      <w:r>
        <w:rPr>
          <w:sz w:val="28"/>
          <w:szCs w:val="28"/>
          <w:lang w:val="uk-UA" w:eastAsia="en-US"/>
        </w:rPr>
        <w:t>”.</w:t>
      </w:r>
    </w:p>
    <w:p w:rsidR="00FC291A" w:rsidRDefault="00FC291A" w:rsidP="00FC291A">
      <w:pPr>
        <w:pStyle w:val="af4"/>
        <w:spacing w:before="0" w:after="0"/>
        <w:ind w:firstLine="709"/>
        <w:jc w:val="both"/>
        <w:rPr>
          <w:sz w:val="28"/>
          <w:szCs w:val="28"/>
          <w:lang w:val="uk-UA" w:eastAsia="en-US"/>
        </w:rPr>
      </w:pPr>
    </w:p>
    <w:p w:rsidR="00FC291A" w:rsidRPr="00491819" w:rsidRDefault="00FC291A" w:rsidP="00FC291A">
      <w:pPr>
        <w:ind w:firstLine="708"/>
        <w:rPr>
          <w:rFonts w:eastAsia="Calibri"/>
          <w:lang w:eastAsia="en-US"/>
        </w:rPr>
      </w:pPr>
      <w:r w:rsidRPr="00FF4EA3">
        <w:rPr>
          <w:rFonts w:eastAsia="Calibri"/>
          <w:lang w:val="ru-RU" w:eastAsia="en-US"/>
        </w:rPr>
        <w:t>4</w:t>
      </w:r>
      <w:r>
        <w:rPr>
          <w:rFonts w:eastAsia="Calibri"/>
          <w:lang w:eastAsia="en-US"/>
        </w:rPr>
        <w:t>. Додатки 1, 2 до Положення викласти в такій редакції:</w:t>
      </w:r>
    </w:p>
    <w:p w:rsidR="00FC291A" w:rsidRDefault="00FC291A" w:rsidP="00090B8B">
      <w:pPr>
        <w:spacing w:line="120" w:lineRule="atLeast"/>
        <w:ind w:left="4820"/>
      </w:pPr>
      <w:r w:rsidRPr="00970C46">
        <w:rPr>
          <w:lang w:eastAsia="en-US"/>
        </w:rPr>
        <w:t>“</w:t>
      </w:r>
      <w:r w:rsidRPr="00AF11B9">
        <w:t>Додаток 1</w:t>
      </w:r>
    </w:p>
    <w:p w:rsidR="00FC291A" w:rsidRDefault="00FC291A" w:rsidP="00FC291A">
      <w:pPr>
        <w:spacing w:line="120" w:lineRule="atLeast"/>
        <w:ind w:left="4820"/>
        <w:rPr>
          <w:rFonts w:eastAsiaTheme="minorEastAsia"/>
          <w:noProof/>
          <w:color w:val="000000" w:themeColor="text1"/>
          <w:lang w:eastAsia="en-US"/>
        </w:rPr>
      </w:pPr>
      <w:r w:rsidRPr="00AF11B9">
        <w:t>до Положення</w:t>
      </w:r>
      <w:r>
        <w:t xml:space="preserve"> </w:t>
      </w:r>
      <w:r w:rsidRPr="00AF11B9">
        <w:t xml:space="preserve">про </w:t>
      </w:r>
      <w:r w:rsidRPr="00706698">
        <w:rPr>
          <w:rFonts w:eastAsiaTheme="minorEastAsia"/>
          <w:noProof/>
          <w:color w:val="000000" w:themeColor="text1"/>
          <w:lang w:eastAsia="en-US"/>
        </w:rPr>
        <w:t>встановлення офіційного курсу гривні до іноземних валют та розрахунку довідкового значення курсу гривні до долара США й облікової ціни банківських металів</w:t>
      </w:r>
    </w:p>
    <w:p w:rsidR="00FD1E64" w:rsidRDefault="00FC291A" w:rsidP="00FC291A">
      <w:pPr>
        <w:spacing w:line="120" w:lineRule="atLeast"/>
        <w:ind w:left="4820"/>
        <w:rPr>
          <w:rFonts w:eastAsiaTheme="minorEastAsia"/>
          <w:noProof/>
          <w:color w:val="000000" w:themeColor="text1"/>
          <w:lang w:eastAsia="en-US"/>
        </w:rPr>
      </w:pPr>
      <w:r>
        <w:rPr>
          <w:rFonts w:eastAsiaTheme="minorEastAsia"/>
          <w:noProof/>
          <w:color w:val="000000" w:themeColor="text1"/>
          <w:lang w:eastAsia="en-US"/>
        </w:rPr>
        <w:t>(</w:t>
      </w:r>
      <w:r w:rsidRPr="00DD54FB">
        <w:rPr>
          <w:rFonts w:eastAsiaTheme="minorEastAsia"/>
          <w:noProof/>
          <w:color w:val="000000" w:themeColor="text1"/>
          <w:lang w:eastAsia="en-US"/>
        </w:rPr>
        <w:t>у редакції</w:t>
      </w:r>
      <w:r w:rsidR="009D3203">
        <w:rPr>
          <w:rFonts w:eastAsiaTheme="minorEastAsia"/>
          <w:noProof/>
          <w:color w:val="000000" w:themeColor="text1"/>
          <w:lang w:eastAsia="en-US"/>
        </w:rPr>
        <w:t xml:space="preserve"> постанови Правління Національного банку України</w:t>
      </w:r>
      <w:r w:rsidR="00780DCF">
        <w:rPr>
          <w:rFonts w:eastAsiaTheme="minorEastAsia"/>
          <w:noProof/>
          <w:color w:val="000000" w:themeColor="text1"/>
          <w:lang w:eastAsia="en-US"/>
        </w:rPr>
        <w:t xml:space="preserve"> </w:t>
      </w:r>
    </w:p>
    <w:p w:rsidR="00FD1E64" w:rsidRDefault="00FD1E64" w:rsidP="00FC291A">
      <w:pPr>
        <w:spacing w:line="120" w:lineRule="atLeast"/>
        <w:ind w:left="4820"/>
        <w:rPr>
          <w:rFonts w:eastAsiaTheme="minorEastAsia"/>
          <w:noProof/>
          <w:color w:val="000000" w:themeColor="text1"/>
          <w:lang w:eastAsia="en-US"/>
        </w:rPr>
      </w:pPr>
      <w:r>
        <w:rPr>
          <w:rFonts w:eastAsiaTheme="minorEastAsia"/>
          <w:noProof/>
          <w:color w:val="000000" w:themeColor="text1"/>
          <w:lang w:eastAsia="en-US"/>
        </w:rPr>
        <w:t xml:space="preserve">від 30 листопада 2021 року </w:t>
      </w:r>
      <w:bookmarkStart w:id="0" w:name="_GoBack"/>
      <w:bookmarkEnd w:id="0"/>
      <w:r w:rsidRPr="00FD1E64">
        <w:rPr>
          <w:rFonts w:eastAsiaTheme="minorEastAsia"/>
          <w:noProof/>
          <w:color w:val="000000" w:themeColor="text1"/>
          <w:lang w:eastAsia="en-US"/>
        </w:rPr>
        <w:t xml:space="preserve">№ 127) </w:t>
      </w:r>
    </w:p>
    <w:p w:rsidR="00FC291A" w:rsidRPr="00AF11B9" w:rsidRDefault="00FC291A" w:rsidP="00FC291A">
      <w:pPr>
        <w:spacing w:line="120" w:lineRule="atLeast"/>
        <w:ind w:left="4820"/>
      </w:pPr>
      <w:r>
        <w:t xml:space="preserve">(підпункт 1 пункту 7 розділу </w:t>
      </w:r>
      <w:r>
        <w:rPr>
          <w:lang w:val="en-US"/>
        </w:rPr>
        <w:t>III</w:t>
      </w:r>
      <w:r w:rsidRPr="00AF11B9">
        <w:t>)</w:t>
      </w:r>
    </w:p>
    <w:p w:rsidR="00FC291A" w:rsidRPr="00AF11B9" w:rsidRDefault="00FC291A" w:rsidP="00FC291A">
      <w:pPr>
        <w:spacing w:before="100" w:after="100"/>
        <w:jc w:val="center"/>
        <w:rPr>
          <w:bCs/>
        </w:rPr>
      </w:pPr>
    </w:p>
    <w:p w:rsidR="00FC291A" w:rsidRPr="00767684" w:rsidRDefault="00FC291A" w:rsidP="00FC291A">
      <w:pPr>
        <w:spacing w:before="100" w:after="100"/>
        <w:jc w:val="center"/>
      </w:pPr>
      <w:r w:rsidRPr="00AF11B9">
        <w:rPr>
          <w:bCs/>
        </w:rPr>
        <w:t>Розрахунок офіційного курсу гривні до долара США</w:t>
      </w:r>
      <w:r w:rsidRPr="00AF11B9">
        <w:t xml:space="preserve"> і довідкового значення курсу гривні до долара США</w:t>
      </w:r>
      <w:r w:rsidRPr="00767684">
        <w:t xml:space="preserve"> </w:t>
      </w:r>
    </w:p>
    <w:p w:rsidR="00FC291A" w:rsidRPr="00AF11B9" w:rsidRDefault="00FC291A" w:rsidP="00FC291A">
      <w:pPr>
        <w:jc w:val="center"/>
        <w:rPr>
          <w:bCs/>
          <w:strike/>
        </w:rPr>
      </w:pPr>
    </w:p>
    <w:p w:rsidR="00FC291A" w:rsidRPr="00DF7BF1" w:rsidRDefault="00FC291A" w:rsidP="00FC291A">
      <w:pPr>
        <w:ind w:firstLine="709"/>
      </w:pPr>
      <w:r w:rsidRPr="00DF7BF1">
        <w:t>1. Для розрахунку офіційного курсу гривні до долара США і довідкового значення курсу гривні до долара США (далі – Розрахунок) ураховується інформація про всі угоди з купівлі/продажу доларів США з обсягом від 100 тисяч доларів США до 5 мільйонів доларів США включно на умовах “</w:t>
      </w:r>
      <w:proofErr w:type="spellStart"/>
      <w:r w:rsidRPr="00DF7BF1">
        <w:t>тод</w:t>
      </w:r>
      <w:proofErr w:type="spellEnd"/>
      <w:r w:rsidRPr="00DF7BF1">
        <w:t>”, “том” і “</w:t>
      </w:r>
      <w:proofErr w:type="spellStart"/>
      <w:r w:rsidRPr="00DF7BF1">
        <w:t>спот</w:t>
      </w:r>
      <w:proofErr w:type="spellEnd"/>
      <w:r w:rsidRPr="00DF7BF1">
        <w:t>”, які в день розрахунку офіційного курсу, довідкового значення курсу укладалися банками на валютному ринку України з іншими банками та з Національним банком та інформація про які надавалася Національному банку ТІС через відповідні канали обміну інформацією:</w:t>
      </w:r>
    </w:p>
    <w:p w:rsidR="00FC291A" w:rsidRPr="00DF7BF1" w:rsidRDefault="00FC291A" w:rsidP="00FC291A">
      <w:pPr>
        <w:ind w:firstLine="709"/>
      </w:pPr>
    </w:p>
    <w:p w:rsidR="00FC291A" w:rsidRPr="00DF7BF1" w:rsidRDefault="00FC291A" w:rsidP="00FC291A">
      <w:pPr>
        <w:ind w:firstLine="709"/>
      </w:pPr>
      <w:r w:rsidRPr="00DF7BF1">
        <w:t>1) до 12.00 – для розрахунку довідкового значення курсу гривні до долара США;</w:t>
      </w:r>
    </w:p>
    <w:p w:rsidR="00FC291A" w:rsidRPr="00DF7BF1" w:rsidRDefault="00FC291A" w:rsidP="00FC291A">
      <w:pPr>
        <w:ind w:firstLine="709"/>
      </w:pPr>
    </w:p>
    <w:p w:rsidR="00FC291A" w:rsidRPr="00DF7BF1" w:rsidRDefault="00FC291A" w:rsidP="00FC291A">
      <w:pPr>
        <w:ind w:firstLine="709"/>
      </w:pPr>
      <w:r w:rsidRPr="00DF7BF1">
        <w:t>2) до 15.00 – для розрахунку офіційного курсу гривні до долара США.</w:t>
      </w:r>
    </w:p>
    <w:p w:rsidR="00FC291A" w:rsidRDefault="00FC291A" w:rsidP="00FC291A">
      <w:pPr>
        <w:ind w:firstLine="709"/>
      </w:pPr>
    </w:p>
    <w:p w:rsidR="00FC291A" w:rsidRPr="00DF7BF1" w:rsidRDefault="00FC291A" w:rsidP="00FC291A">
      <w:pPr>
        <w:ind w:firstLine="709"/>
      </w:pPr>
      <w:r w:rsidRPr="00DF7BF1">
        <w:t>2. Розрахунок здійснюється в такому порядку:</w:t>
      </w:r>
    </w:p>
    <w:p w:rsidR="00FC291A" w:rsidRPr="00DF7BF1" w:rsidRDefault="00FC291A" w:rsidP="00FC291A">
      <w:pPr>
        <w:ind w:firstLine="709"/>
      </w:pPr>
    </w:p>
    <w:p w:rsidR="00FC291A" w:rsidRPr="00DF7BF1" w:rsidRDefault="00FC291A" w:rsidP="00FC291A">
      <w:pPr>
        <w:ind w:firstLine="709"/>
      </w:pPr>
      <w:r w:rsidRPr="00DF7BF1">
        <w:t>1) із наявного ряду угод, визначеного відповідно до пункту 1 Розрахунку, виключаються угоди, курси яких більше ніж на 2 відсотки (±2%) відрізняються від медіани ряду курсів, яка розраховується в такому порядку:</w:t>
      </w:r>
    </w:p>
    <w:p w:rsidR="00FC291A" w:rsidRPr="00DF7BF1" w:rsidRDefault="00FC291A" w:rsidP="00FC291A">
      <w:pPr>
        <w:ind w:firstLine="709"/>
      </w:pPr>
      <w:r w:rsidRPr="00DF7BF1">
        <w:t xml:space="preserve">курси ряду угод </w:t>
      </w:r>
      <w:proofErr w:type="spellStart"/>
      <w:r w:rsidRPr="00DF7BF1">
        <w:t>ранжуються</w:t>
      </w:r>
      <w:proofErr w:type="spellEnd"/>
      <w:r w:rsidRPr="00DF7BF1">
        <w:t xml:space="preserve"> від найменшого до найбільшого значення курсу;</w:t>
      </w:r>
    </w:p>
    <w:p w:rsidR="00FC291A" w:rsidRPr="00AF11B9" w:rsidRDefault="00FC291A" w:rsidP="00FC291A">
      <w:pPr>
        <w:ind w:firstLine="709"/>
      </w:pPr>
      <w:r w:rsidRPr="00DF7BF1">
        <w:t xml:space="preserve">якщо ряд угод містить непарну кількість угод, то медіана ряду курсів розраховується за </w:t>
      </w:r>
      <w:r w:rsidR="009D3203">
        <w:t xml:space="preserve">такою </w:t>
      </w:r>
      <w:r w:rsidRPr="00DF7BF1">
        <w:t>формулою:</w:t>
      </w:r>
    </w:p>
    <w:p w:rsidR="00FC291A" w:rsidRPr="009F5820" w:rsidRDefault="002D33DE" w:rsidP="00FC291A">
      <w:pPr>
        <w:ind w:firstLine="709"/>
      </w:pPr>
      <m:oMath>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k</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k</m:t>
            </m:r>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n+1</m:t>
                    </m:r>
                  </m:num>
                  <m:den>
                    <m:r>
                      <w:rPr>
                        <w:rFonts w:ascii="Cambria Math" w:hAnsi="Cambria Math"/>
                        <w:lang w:eastAsia="zh-CN"/>
                      </w:rPr>
                      <m:t>2</m:t>
                    </m:r>
                  </m:den>
                </m:f>
              </m:e>
            </m:d>
          </m:sub>
        </m:sSub>
      </m:oMath>
      <w:r w:rsidR="00FC291A" w:rsidRPr="009F5820">
        <w:t xml:space="preserve">, </w:t>
      </w:r>
    </w:p>
    <w:p w:rsidR="00FC291A" w:rsidRDefault="00FC291A" w:rsidP="00FC291A">
      <w:r w:rsidRPr="009F5820">
        <w:t xml:space="preserve">де      </w:t>
      </w:r>
      <m:oMath>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k</m:t>
            </m:r>
          </m:sub>
        </m:sSub>
      </m:oMath>
      <w:r w:rsidRPr="009F5820">
        <w:rPr>
          <w:b/>
          <w:bCs/>
        </w:rPr>
        <w:fldChar w:fldCharType="begin"/>
      </w:r>
      <w:r w:rsidRPr="009F5820">
        <w:rPr>
          <w:b/>
          <w:bCs/>
        </w:rPr>
        <w:instrText xml:space="preserve"> QUOTE </w:instrText>
      </w:r>
      <w:r w:rsidRPr="009F5820">
        <w:rPr>
          <w:b/>
          <w:bCs/>
          <w:noProof/>
          <w:position w:val="-6"/>
        </w:rPr>
        <w:drawing>
          <wp:inline distT="0" distB="0" distL="0" distR="0" wp14:anchorId="1C2AE30F" wp14:editId="34556C06">
            <wp:extent cx="228600" cy="205740"/>
            <wp:effectExtent l="0" t="0" r="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05740"/>
                    </a:xfrm>
                    <a:prstGeom prst="rect">
                      <a:avLst/>
                    </a:prstGeom>
                    <a:noFill/>
                    <a:ln>
                      <a:noFill/>
                    </a:ln>
                  </pic:spPr>
                </pic:pic>
              </a:graphicData>
            </a:graphic>
          </wp:inline>
        </w:drawing>
      </w:r>
      <w:r w:rsidRPr="009F5820">
        <w:rPr>
          <w:b/>
          <w:bCs/>
        </w:rPr>
        <w:instrText xml:space="preserve"> </w:instrText>
      </w:r>
      <w:r w:rsidRPr="009F5820">
        <w:rPr>
          <w:b/>
          <w:bCs/>
        </w:rPr>
        <w:fldChar w:fldCharType="end"/>
      </w:r>
      <w:r w:rsidRPr="009F5820">
        <w:rPr>
          <w:b/>
          <w:bCs/>
        </w:rPr>
        <w:t xml:space="preserve"> </w:t>
      </w:r>
      <w:r w:rsidRPr="009F5820">
        <w:t>– значення  медіани ряду курсів;</w:t>
      </w:r>
    </w:p>
    <w:p w:rsidR="009D3203" w:rsidRDefault="009D3203" w:rsidP="00920D19">
      <w:pPr>
        <w:jc w:val="right"/>
      </w:pPr>
      <w:r>
        <w:lastRenderedPageBreak/>
        <w:t>Продовження додатка 1</w:t>
      </w:r>
    </w:p>
    <w:p w:rsidR="009D3203" w:rsidRPr="009F5820" w:rsidRDefault="009D3203" w:rsidP="00920D19">
      <w:pPr>
        <w:jc w:val="right"/>
      </w:pPr>
    </w:p>
    <w:p w:rsidR="00FC291A" w:rsidRDefault="002D33DE" w:rsidP="00FC291A">
      <w:pPr>
        <w:ind w:firstLine="709"/>
      </w:pP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k</m:t>
            </m:r>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n+1</m:t>
                    </m:r>
                  </m:num>
                  <m:den>
                    <m:r>
                      <w:rPr>
                        <w:rFonts w:ascii="Cambria Math" w:hAnsi="Cambria Math"/>
                        <w:lang w:eastAsia="zh-CN"/>
                      </w:rPr>
                      <m:t>2</m:t>
                    </m:r>
                  </m:den>
                </m:f>
              </m:e>
            </m:d>
          </m:sub>
        </m:sSub>
      </m:oMath>
      <w:r w:rsidR="00FC291A" w:rsidRPr="009F5820">
        <w:fldChar w:fldCharType="begin"/>
      </w:r>
      <w:r w:rsidR="00FC291A" w:rsidRPr="009F5820">
        <w:instrText xml:space="preserve"> QUOTE </w:instrText>
      </w:r>
      <w:r w:rsidR="00FC291A" w:rsidRPr="009F5820">
        <w:rPr>
          <w:noProof/>
        </w:rPr>
        <w:drawing>
          <wp:inline distT="0" distB="0" distL="0" distR="0" wp14:anchorId="4C1DF726" wp14:editId="349F45E5">
            <wp:extent cx="533400" cy="3124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312420"/>
                    </a:xfrm>
                    <a:prstGeom prst="rect">
                      <a:avLst/>
                    </a:prstGeom>
                    <a:noFill/>
                    <a:ln>
                      <a:noFill/>
                    </a:ln>
                  </pic:spPr>
                </pic:pic>
              </a:graphicData>
            </a:graphic>
          </wp:inline>
        </w:drawing>
      </w:r>
      <w:r w:rsidR="00FC291A" w:rsidRPr="009F5820">
        <w:instrText xml:space="preserve"> </w:instrText>
      </w:r>
      <w:r w:rsidR="00FC291A" w:rsidRPr="009F5820">
        <w:fldChar w:fldCharType="end"/>
      </w:r>
      <w:r w:rsidR="00FC291A" w:rsidRPr="009F5820">
        <w:t xml:space="preserve">– значення курсу </w:t>
      </w:r>
      <m:oMath>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n+1</m:t>
                </m:r>
              </m:num>
              <m:den>
                <m:r>
                  <w:rPr>
                    <w:rFonts w:ascii="Cambria Math" w:hAnsi="Cambria Math"/>
                    <w:lang w:eastAsia="zh-CN"/>
                  </w:rPr>
                  <m:t>2</m:t>
                </m:r>
              </m:den>
            </m:f>
          </m:e>
        </m:d>
      </m:oMath>
      <w:r w:rsidR="00FC291A" w:rsidRPr="009F5820">
        <w:fldChar w:fldCharType="begin"/>
      </w:r>
      <w:r w:rsidR="00FC291A" w:rsidRPr="009F5820">
        <w:instrText xml:space="preserve"> QUOTE </w:instrText>
      </w:r>
      <w:r w:rsidR="00FC291A" w:rsidRPr="009F5820">
        <w:rPr>
          <w:noProof/>
        </w:rPr>
        <w:drawing>
          <wp:inline distT="0" distB="0" distL="0" distR="0" wp14:anchorId="5D493AE8" wp14:editId="5D65B284">
            <wp:extent cx="251460" cy="2971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460" cy="297180"/>
                    </a:xfrm>
                    <a:prstGeom prst="rect">
                      <a:avLst/>
                    </a:prstGeom>
                    <a:noFill/>
                    <a:ln>
                      <a:noFill/>
                    </a:ln>
                  </pic:spPr>
                </pic:pic>
              </a:graphicData>
            </a:graphic>
          </wp:inline>
        </w:drawing>
      </w:r>
      <w:r w:rsidR="00FC291A" w:rsidRPr="009F5820">
        <w:instrText xml:space="preserve"> </w:instrText>
      </w:r>
      <w:r w:rsidR="00FC291A" w:rsidRPr="009F5820">
        <w:fldChar w:fldCharType="end"/>
      </w:r>
      <w:r w:rsidR="00FC291A" w:rsidRPr="009F5820">
        <w:t>-ї угоди</w:t>
      </w:r>
      <w:r w:rsidR="00FC291A" w:rsidRPr="0044538D">
        <w:t>;</w:t>
      </w:r>
    </w:p>
    <w:p w:rsidR="00FC291A" w:rsidRPr="0044538D" w:rsidRDefault="00FC291A" w:rsidP="00FC291A">
      <w:pPr>
        <w:ind w:firstLine="709"/>
      </w:pPr>
      <m:oMath>
        <m:r>
          <w:rPr>
            <w:rFonts w:ascii="Cambria Math" w:hAnsi="Cambria Math"/>
            <w:lang w:eastAsia="zh-CN"/>
          </w:rPr>
          <m:t>n</m:t>
        </m:r>
      </m:oMath>
      <w:r w:rsidRPr="0044538D">
        <w:t xml:space="preserve"> </w:t>
      </w:r>
      <w:r w:rsidRPr="0044538D">
        <w:fldChar w:fldCharType="begin"/>
      </w:r>
      <w:r w:rsidRPr="0044538D">
        <w:instrText xml:space="preserve"> QUOTE </w:instrText>
      </w:r>
      <w:r w:rsidRPr="0044538D">
        <w:rPr>
          <w:noProof/>
        </w:rPr>
        <w:drawing>
          <wp:inline distT="0" distB="0" distL="0" distR="0" wp14:anchorId="217E62CC" wp14:editId="08A0F4B8">
            <wp:extent cx="106680" cy="20574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 cy="205740"/>
                    </a:xfrm>
                    <a:prstGeom prst="rect">
                      <a:avLst/>
                    </a:prstGeom>
                    <a:noFill/>
                    <a:ln>
                      <a:noFill/>
                    </a:ln>
                  </pic:spPr>
                </pic:pic>
              </a:graphicData>
            </a:graphic>
          </wp:inline>
        </w:drawing>
      </w:r>
      <w:r w:rsidRPr="0044538D">
        <w:instrText xml:space="preserve"> </w:instrText>
      </w:r>
      <w:r w:rsidRPr="0044538D">
        <w:fldChar w:fldCharType="end"/>
      </w:r>
      <w:r w:rsidRPr="0044538D">
        <w:t xml:space="preserve"> – кількість угод;</w:t>
      </w:r>
    </w:p>
    <w:p w:rsidR="00FC291A" w:rsidRPr="0044538D" w:rsidRDefault="00FC291A" w:rsidP="00FC291A">
      <w:pPr>
        <w:ind w:firstLine="746"/>
      </w:pPr>
      <w:r w:rsidRPr="0044538D">
        <w:t>якщо ряд містить парну кількість угод, то медіана</w:t>
      </w:r>
      <w:r>
        <w:rPr>
          <w:lang w:val="ru-RU"/>
        </w:rPr>
        <w:t xml:space="preserve"> </w:t>
      </w:r>
      <w:r w:rsidRPr="00714087">
        <w:t>ряду курсів</w:t>
      </w:r>
      <w:r w:rsidRPr="00BE6684">
        <w:rPr>
          <w:lang w:val="ru-RU"/>
        </w:rPr>
        <w:t xml:space="preserve">  </w:t>
      </w:r>
      <w:r w:rsidRPr="0044538D">
        <w:t>розраховується за</w:t>
      </w:r>
      <w:r w:rsidR="009D3203">
        <w:t xml:space="preserve"> такою </w:t>
      </w:r>
      <w:r w:rsidRPr="0044538D">
        <w:t xml:space="preserve"> формулою:</w:t>
      </w:r>
    </w:p>
    <w:p w:rsidR="00FC291A" w:rsidRPr="00BC3A38" w:rsidRDefault="002D33DE" w:rsidP="00FC291A">
      <w:pPr>
        <w:ind w:firstLine="746"/>
      </w:pPr>
      <m:oMath>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k</m:t>
            </m:r>
          </m:sub>
        </m:sSub>
        <m:r>
          <w:rPr>
            <w:rFonts w:ascii="Cambria Math" w:hAnsi="Cambria Math"/>
            <w:lang w:eastAsia="zh-CN"/>
          </w:rPr>
          <m:t>=</m:t>
        </m:r>
        <m:f>
          <m:fPr>
            <m:ctrlPr>
              <w:rPr>
                <w:rFonts w:ascii="Cambria Math" w:hAnsi="Cambria Math"/>
                <w:i/>
                <w:sz w:val="40"/>
                <w:szCs w:val="40"/>
                <w:lang w:eastAsia="zh-CN"/>
              </w:rPr>
            </m:ctrlPr>
          </m:fPr>
          <m:num>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k</m:t>
                </m:r>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d>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k</m:t>
                </m:r>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r>
                      <w:rPr>
                        <w:rFonts w:ascii="Cambria Math" w:hAnsi="Cambria Math"/>
                        <w:lang w:eastAsia="zh-CN"/>
                      </w:rPr>
                      <m:t>+1</m:t>
                    </m:r>
                  </m:e>
                </m:d>
              </m:sub>
            </m:sSub>
          </m:num>
          <m:den>
            <m:r>
              <w:rPr>
                <w:rFonts w:ascii="Cambria Math" w:hAnsi="Cambria Math"/>
                <w:sz w:val="40"/>
                <w:szCs w:val="40"/>
                <w:lang w:eastAsia="zh-CN"/>
              </w:rPr>
              <m:t>2</m:t>
            </m:r>
          </m:den>
        </m:f>
      </m:oMath>
      <w:r w:rsidR="00FC291A" w:rsidRPr="00BC3A38">
        <w:t xml:space="preserve">, </w:t>
      </w:r>
    </w:p>
    <w:p w:rsidR="00FC291A" w:rsidRPr="0044538D" w:rsidRDefault="00FC291A" w:rsidP="00FC291A">
      <w:r>
        <w:t>д</w:t>
      </w:r>
      <w:r w:rsidRPr="0044538D">
        <w:t>е</w:t>
      </w:r>
      <w:r>
        <w:t xml:space="preserve">      </w:t>
      </w:r>
      <m:oMath>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k</m:t>
            </m:r>
          </m:sub>
        </m:sSub>
      </m:oMath>
      <w:r w:rsidRPr="0044538D">
        <w:fldChar w:fldCharType="begin"/>
      </w:r>
      <w:r w:rsidRPr="0044538D">
        <w:instrText xml:space="preserve"> QUOTE </w:instrText>
      </w:r>
      <w:r w:rsidRPr="0044538D">
        <w:rPr>
          <w:noProof/>
        </w:rPr>
        <w:drawing>
          <wp:inline distT="0" distB="0" distL="0" distR="0" wp14:anchorId="21D8EAB2" wp14:editId="19B07CD1">
            <wp:extent cx="228600" cy="2057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05740"/>
                    </a:xfrm>
                    <a:prstGeom prst="rect">
                      <a:avLst/>
                    </a:prstGeom>
                    <a:noFill/>
                    <a:ln>
                      <a:noFill/>
                    </a:ln>
                  </pic:spPr>
                </pic:pic>
              </a:graphicData>
            </a:graphic>
          </wp:inline>
        </w:drawing>
      </w:r>
      <w:r w:rsidRPr="0044538D">
        <w:instrText xml:space="preserve"> </w:instrText>
      </w:r>
      <w:r w:rsidRPr="0044538D">
        <w:fldChar w:fldCharType="end"/>
      </w:r>
      <w:r w:rsidRPr="0044538D">
        <w:t xml:space="preserve"> – значення  медіани</w:t>
      </w:r>
      <w:r w:rsidRPr="00BE6684">
        <w:t xml:space="preserve"> ряду</w:t>
      </w:r>
      <w:r>
        <w:t xml:space="preserve"> курсів;</w:t>
      </w:r>
    </w:p>
    <w:p w:rsidR="00FC291A" w:rsidRPr="0044538D" w:rsidRDefault="002D33DE" w:rsidP="00FC291A">
      <w:pPr>
        <w:ind w:firstLine="709"/>
      </w:pP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k</m:t>
            </m:r>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d>
          </m:sub>
        </m:sSub>
      </m:oMath>
      <w:r w:rsidR="00FC291A" w:rsidRPr="0044538D">
        <w:fldChar w:fldCharType="begin"/>
      </w:r>
      <w:r w:rsidR="00FC291A" w:rsidRPr="0044538D">
        <w:instrText xml:space="preserve"> QUOTE </w:instrText>
      </w:r>
      <w:r w:rsidR="00FC291A" w:rsidRPr="0044538D">
        <w:rPr>
          <w:noProof/>
        </w:rPr>
        <w:drawing>
          <wp:inline distT="0" distB="0" distL="0" distR="0" wp14:anchorId="22B122B6" wp14:editId="008D7038">
            <wp:extent cx="396240" cy="31242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312420"/>
                    </a:xfrm>
                    <a:prstGeom prst="rect">
                      <a:avLst/>
                    </a:prstGeom>
                    <a:noFill/>
                    <a:ln>
                      <a:noFill/>
                    </a:ln>
                  </pic:spPr>
                </pic:pic>
              </a:graphicData>
            </a:graphic>
          </wp:inline>
        </w:drawing>
      </w:r>
      <w:r w:rsidR="00FC291A" w:rsidRPr="0044538D">
        <w:instrText xml:space="preserve"> </w:instrText>
      </w:r>
      <w:r w:rsidR="00FC291A" w:rsidRPr="0044538D">
        <w:fldChar w:fldCharType="end"/>
      </w:r>
      <w:r w:rsidR="00FC291A" w:rsidRPr="0044538D">
        <w:t xml:space="preserve">– значення курсу </w:t>
      </w:r>
      <m:oMath>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oMath>
      <w:r w:rsidR="00FC291A" w:rsidRPr="0044538D">
        <w:fldChar w:fldCharType="begin"/>
      </w:r>
      <w:r w:rsidR="00FC291A" w:rsidRPr="0044538D">
        <w:instrText xml:space="preserve"> QUOTE </w:instrText>
      </w:r>
      <w:r w:rsidR="00FC291A" w:rsidRPr="0044538D">
        <w:rPr>
          <w:noProof/>
        </w:rPr>
        <w:drawing>
          <wp:inline distT="0" distB="0" distL="0" distR="0" wp14:anchorId="4D16CE7D" wp14:editId="7EFC6973">
            <wp:extent cx="83820" cy="2819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 cy="281940"/>
                    </a:xfrm>
                    <a:prstGeom prst="rect">
                      <a:avLst/>
                    </a:prstGeom>
                    <a:noFill/>
                    <a:ln>
                      <a:noFill/>
                    </a:ln>
                  </pic:spPr>
                </pic:pic>
              </a:graphicData>
            </a:graphic>
          </wp:inline>
        </w:drawing>
      </w:r>
      <w:r w:rsidR="00FC291A" w:rsidRPr="0044538D">
        <w:instrText xml:space="preserve"> </w:instrText>
      </w:r>
      <w:r w:rsidR="00FC291A" w:rsidRPr="0044538D">
        <w:fldChar w:fldCharType="end"/>
      </w:r>
      <w:r w:rsidR="00FC291A" w:rsidRPr="0044538D">
        <w:t>-ї угоди;</w:t>
      </w:r>
    </w:p>
    <w:p w:rsidR="00FC291A" w:rsidRPr="0044538D" w:rsidRDefault="002D33DE" w:rsidP="00FC291A">
      <w:pPr>
        <w:ind w:firstLine="709"/>
      </w:pP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k</m:t>
            </m:r>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r>
                  <w:rPr>
                    <w:rFonts w:ascii="Cambria Math" w:hAnsi="Cambria Math"/>
                    <w:lang w:eastAsia="zh-CN"/>
                  </w:rPr>
                  <m:t>+1</m:t>
                </m:r>
              </m:e>
            </m:d>
          </m:sub>
        </m:sSub>
      </m:oMath>
      <w:r w:rsidR="00FC291A" w:rsidRPr="0044538D">
        <w:fldChar w:fldCharType="begin"/>
      </w:r>
      <w:r w:rsidR="00FC291A" w:rsidRPr="0044538D">
        <w:instrText xml:space="preserve"> QUOTE </w:instrText>
      </w:r>
      <w:r w:rsidR="00FC291A" w:rsidRPr="0044538D">
        <w:rPr>
          <w:noProof/>
        </w:rPr>
        <w:drawing>
          <wp:inline distT="0" distB="0" distL="0" distR="0" wp14:anchorId="3466567E" wp14:editId="5510E109">
            <wp:extent cx="563880" cy="312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880" cy="312420"/>
                    </a:xfrm>
                    <a:prstGeom prst="rect">
                      <a:avLst/>
                    </a:prstGeom>
                    <a:noFill/>
                    <a:ln>
                      <a:noFill/>
                    </a:ln>
                  </pic:spPr>
                </pic:pic>
              </a:graphicData>
            </a:graphic>
          </wp:inline>
        </w:drawing>
      </w:r>
      <w:r w:rsidR="00FC291A" w:rsidRPr="0044538D">
        <w:instrText xml:space="preserve"> </w:instrText>
      </w:r>
      <w:r w:rsidR="00FC291A" w:rsidRPr="0044538D">
        <w:fldChar w:fldCharType="end"/>
      </w:r>
      <w:r w:rsidR="00FC291A" w:rsidRPr="0044538D">
        <w:t xml:space="preserve">– значення курсу </w:t>
      </w:r>
      <m:oMath>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r>
              <w:rPr>
                <w:rFonts w:ascii="Cambria Math" w:hAnsi="Cambria Math"/>
                <w:lang w:eastAsia="zh-CN"/>
              </w:rPr>
              <m:t>+1</m:t>
            </m:r>
          </m:e>
        </m:d>
      </m:oMath>
      <w:r w:rsidR="00FC291A" w:rsidRPr="0044538D">
        <w:fldChar w:fldCharType="begin"/>
      </w:r>
      <w:r w:rsidR="00FC291A" w:rsidRPr="0044538D">
        <w:instrText xml:space="preserve"> QUOTE </w:instrText>
      </w:r>
      <w:r w:rsidR="00FC291A" w:rsidRPr="0044538D">
        <w:rPr>
          <w:noProof/>
        </w:rPr>
        <w:drawing>
          <wp:inline distT="0" distB="0" distL="0" distR="0" wp14:anchorId="0395F821" wp14:editId="2B5CC602">
            <wp:extent cx="396240" cy="281940"/>
            <wp:effectExtent l="0" t="0" r="381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281940"/>
                    </a:xfrm>
                    <a:prstGeom prst="rect">
                      <a:avLst/>
                    </a:prstGeom>
                    <a:noFill/>
                    <a:ln>
                      <a:noFill/>
                    </a:ln>
                  </pic:spPr>
                </pic:pic>
              </a:graphicData>
            </a:graphic>
          </wp:inline>
        </w:drawing>
      </w:r>
      <w:r w:rsidR="00FC291A" w:rsidRPr="0044538D">
        <w:instrText xml:space="preserve"> </w:instrText>
      </w:r>
      <w:r w:rsidR="00FC291A" w:rsidRPr="0044538D">
        <w:fldChar w:fldCharType="end"/>
      </w:r>
      <w:r w:rsidR="00FC291A" w:rsidRPr="0044538D">
        <w:t>-ї угоди;</w:t>
      </w:r>
    </w:p>
    <w:p w:rsidR="00FC291A" w:rsidRPr="0044538D" w:rsidRDefault="00FC291A" w:rsidP="00FC291A">
      <w:pPr>
        <w:ind w:firstLine="709"/>
      </w:pPr>
      <m:oMath>
        <m:r>
          <w:rPr>
            <w:rFonts w:ascii="Cambria Math" w:hAnsi="Cambria Math"/>
            <w:lang w:eastAsia="zh-CN"/>
          </w:rPr>
          <m:t>n</m:t>
        </m:r>
      </m:oMath>
      <w:r w:rsidRPr="0044538D">
        <w:t xml:space="preserve"> – кількість угод;</w:t>
      </w:r>
    </w:p>
    <w:p w:rsidR="00FC291A" w:rsidRPr="00AF11B9" w:rsidRDefault="00FC291A" w:rsidP="00FC291A"/>
    <w:p w:rsidR="00FC291A" w:rsidRPr="00AF11B9" w:rsidRDefault="00FC291A" w:rsidP="00FC291A">
      <w:pPr>
        <w:ind w:firstLine="709"/>
      </w:pPr>
      <w:r w:rsidRPr="00AF11B9">
        <w:t xml:space="preserve">2)  із ряду угод, отриманого після виконання підпункту 1 пункту 2 Розрахунку,  розраховується стандартне відхилення курсу за такою формулою:  </w:t>
      </w:r>
    </w:p>
    <w:p w:rsidR="00FC291A" w:rsidRPr="00AF11B9" w:rsidRDefault="002D33DE" w:rsidP="00FC291A">
      <w:pPr>
        <w:ind w:firstLine="709"/>
        <w:rPr>
          <w:lang w:eastAsia="zh-CN"/>
        </w:rPr>
      </w:pPr>
      <m:oMath>
        <m:sSub>
          <m:sSubPr>
            <m:ctrlPr>
              <w:rPr>
                <w:rFonts w:ascii="Cambria Math" w:hAnsi="Cambria Math"/>
                <w:i/>
                <w:lang w:eastAsia="zh-CN"/>
              </w:rPr>
            </m:ctrlPr>
          </m:sSubPr>
          <m:e>
            <m:r>
              <w:rPr>
                <w:rFonts w:ascii="Cambria Math" w:hAnsi="Cambria Math"/>
                <w:lang w:eastAsia="zh-CN"/>
              </w:rPr>
              <m:t>σ</m:t>
            </m:r>
          </m:e>
          <m:sub>
            <m:r>
              <w:rPr>
                <w:rFonts w:ascii="Cambria Math" w:hAnsi="Cambria Math"/>
                <w:lang w:eastAsia="zh-CN"/>
              </w:rPr>
              <m:t>k</m:t>
            </m:r>
          </m:sub>
        </m:sSub>
      </m:oMath>
      <w:r w:rsidR="00FC291A" w:rsidRPr="00AF11B9">
        <w:rPr>
          <w:i/>
          <w:lang w:eastAsia="zh-CN"/>
        </w:rPr>
        <w:t>=</w:t>
      </w:r>
      <m:oMath>
        <m:rad>
          <m:radPr>
            <m:degHide m:val="1"/>
            <m:ctrlPr>
              <w:rPr>
                <w:rFonts w:ascii="Cambria Math" w:hAnsi="Cambria Math"/>
                <w:i/>
                <w:lang w:eastAsia="zh-CN"/>
              </w:rPr>
            </m:ctrlPr>
          </m:radPr>
          <m:deg/>
          <m:e>
            <m:f>
              <m:fPr>
                <m:ctrlPr>
                  <w:rPr>
                    <w:rFonts w:ascii="Cambria Math" w:hAnsi="Cambria Math"/>
                    <w:i/>
                    <w:lang w:eastAsia="zh-CN"/>
                  </w:rPr>
                </m:ctrlPr>
              </m:fPr>
              <m:num>
                <m:nary>
                  <m:naryPr>
                    <m:chr m:val="∑"/>
                    <m:limLoc m:val="undOvr"/>
                    <m:ctrlPr>
                      <w:rPr>
                        <w:rFonts w:ascii="Cambria Math" w:hAnsi="Cambria Math"/>
                        <w:i/>
                        <w:lang w:eastAsia="zh-CN"/>
                      </w:rPr>
                    </m:ctrlPr>
                  </m:naryPr>
                  <m:sub>
                    <m:r>
                      <w:rPr>
                        <w:rFonts w:ascii="Cambria Math" w:hAnsi="Cambria Math"/>
                        <w:lang w:eastAsia="zh-CN"/>
                      </w:rPr>
                      <m:t>i=1</m:t>
                    </m:r>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ki</m:t>
                            </m:r>
                          </m:sub>
                        </m:sSub>
                        <m:r>
                          <w:rPr>
                            <w:rFonts w:ascii="Cambria Math" w:hAnsi="Cambria Math"/>
                            <w:lang w:eastAsia="zh-CN"/>
                          </w:rPr>
                          <m:t>-</m:t>
                        </m:r>
                        <m:acc>
                          <m:accPr>
                            <m:chr m:val="̅"/>
                            <m:ctrlPr>
                              <w:rPr>
                                <w:rFonts w:ascii="Cambria Math" w:hAnsi="Cambria Math"/>
                                <w:i/>
                                <w:lang w:eastAsia="zh-CN"/>
                              </w:rPr>
                            </m:ctrlPr>
                          </m:accPr>
                          <m:e>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k</m:t>
                                </m:r>
                              </m:sub>
                            </m:sSub>
                          </m:e>
                        </m:acc>
                      </m:e>
                    </m:d>
                  </m:sub>
                  <m:sup>
                    <m:r>
                      <w:rPr>
                        <w:rFonts w:ascii="Cambria Math" w:hAnsi="Cambria Math"/>
                        <w:lang w:eastAsia="zh-CN"/>
                      </w:rPr>
                      <m:t>n</m:t>
                    </m:r>
                  </m:sup>
                  <m:e>
                    <m:r>
                      <w:rPr>
                        <w:rFonts w:ascii="Cambria Math" w:hAnsi="Cambria Math"/>
                        <w:lang w:eastAsia="zh-CN"/>
                      </w:rPr>
                      <m:t>2</m:t>
                    </m:r>
                  </m:e>
                </m:nary>
              </m:num>
              <m:den>
                <m:r>
                  <w:rPr>
                    <w:rFonts w:ascii="Cambria Math" w:hAnsi="Cambria Math"/>
                    <w:lang w:eastAsia="zh-CN"/>
                  </w:rPr>
                  <m:t>n</m:t>
                </m:r>
              </m:den>
            </m:f>
            <m:r>
              <w:rPr>
                <w:rFonts w:ascii="Cambria Math" w:hAnsi="Cambria Math"/>
                <w:lang w:eastAsia="zh-CN"/>
              </w:rPr>
              <m:t xml:space="preserve">    </m:t>
            </m:r>
          </m:e>
        </m:rad>
        <m:r>
          <w:rPr>
            <w:rFonts w:ascii="Cambria Math" w:hAnsi="Cambria Math"/>
            <w:lang w:eastAsia="zh-CN"/>
          </w:rPr>
          <m:t xml:space="preserve">, </m:t>
        </m:r>
      </m:oMath>
      <w:r w:rsidR="00FC291A" w:rsidRPr="00AF11B9">
        <w:rPr>
          <w:i/>
          <w:lang w:eastAsia="zh-CN"/>
        </w:rPr>
        <w:t xml:space="preserve">    </w:t>
      </w:r>
      <w:r w:rsidR="00FC291A" w:rsidRPr="00AF11B9">
        <w:rPr>
          <w:lang w:eastAsia="zh-CN"/>
        </w:rPr>
        <w:t xml:space="preserve">  </w:t>
      </w:r>
    </w:p>
    <w:p w:rsidR="00FC291A" w:rsidRPr="00AF11B9" w:rsidRDefault="00FC291A" w:rsidP="00FC291A">
      <w:r w:rsidRPr="00AF11B9">
        <w:rPr>
          <w:lang w:eastAsia="zh-CN"/>
        </w:rPr>
        <w:t>де</w:t>
      </w:r>
      <m:oMath>
        <m:r>
          <w:rPr>
            <w:rFonts w:ascii="Cambria Math" w:hAnsi="Cambria Math"/>
            <w:lang w:eastAsia="zh-CN"/>
          </w:rPr>
          <m:t xml:space="preserve">       </m:t>
        </m:r>
        <m:sSub>
          <m:sSubPr>
            <m:ctrlPr>
              <w:rPr>
                <w:rFonts w:ascii="Cambria Math" w:hAnsi="Cambria Math"/>
                <w:lang w:eastAsia="zh-CN"/>
              </w:rPr>
            </m:ctrlPr>
          </m:sSubPr>
          <m:e>
            <m:r>
              <m:rPr>
                <m:sty m:val="p"/>
              </m:rPr>
              <w:rPr>
                <w:rFonts w:ascii="Cambria Math" w:hAnsi="Cambria Math"/>
                <w:lang w:eastAsia="zh-CN"/>
              </w:rPr>
              <m:t>σ</m:t>
            </m:r>
          </m:e>
          <m:sub>
            <m:r>
              <m:rPr>
                <m:sty m:val="p"/>
              </m:rPr>
              <w:rPr>
                <w:rFonts w:ascii="Cambria Math" w:hAnsi="Cambria Math"/>
                <w:lang w:eastAsia="zh-CN"/>
              </w:rPr>
              <m:t>k</m:t>
            </m:r>
          </m:sub>
        </m:sSub>
      </m:oMath>
      <w:r w:rsidRPr="00AF11B9">
        <w:rPr>
          <w:color w:val="363636"/>
        </w:rPr>
        <w:t xml:space="preserve"> – </w:t>
      </w:r>
      <w:r w:rsidRPr="00AF11B9">
        <w:t>стандартне відхилення курсу;</w:t>
      </w:r>
    </w:p>
    <w:p w:rsidR="00FC291A" w:rsidRPr="00AF11B9" w:rsidRDefault="002D33DE" w:rsidP="00FC291A">
      <w:pPr>
        <w:ind w:firstLine="709"/>
      </w:pPr>
      <m:oMath>
        <m:sSub>
          <m:sSubPr>
            <m:ctrlPr>
              <w:rPr>
                <w:rFonts w:ascii="Cambria Math" w:hAnsi="Cambria Math"/>
                <w:lang w:eastAsia="zh-CN"/>
              </w:rPr>
            </m:ctrlPr>
          </m:sSubPr>
          <m:e>
            <m:r>
              <m:rPr>
                <m:sty m:val="p"/>
              </m:rPr>
              <w:rPr>
                <w:rFonts w:ascii="Cambria Math" w:hAnsi="Cambria Math"/>
                <w:lang w:eastAsia="zh-CN"/>
              </w:rPr>
              <m:t>Х</m:t>
            </m:r>
          </m:e>
          <m:sub>
            <m:r>
              <m:rPr>
                <m:sty m:val="p"/>
              </m:rPr>
              <w:rPr>
                <w:rFonts w:ascii="Cambria Math" w:hAnsi="Cambria Math"/>
                <w:lang w:eastAsia="zh-CN"/>
              </w:rPr>
              <m:t>ki</m:t>
            </m:r>
          </m:sub>
        </m:sSub>
      </m:oMath>
      <w:r w:rsidR="00FC291A" w:rsidRPr="00AF11B9">
        <w:t xml:space="preserve"> –  значення курсу і-ї угоди;</w:t>
      </w:r>
    </w:p>
    <w:p w:rsidR="00FC291A" w:rsidRPr="00AF11B9" w:rsidRDefault="002D33DE" w:rsidP="00FC291A">
      <w:pPr>
        <w:ind w:firstLine="709"/>
      </w:pPr>
      <m:oMath>
        <m:acc>
          <m:accPr>
            <m:chr m:val="̅"/>
            <m:ctrlPr>
              <w:rPr>
                <w:rFonts w:ascii="Cambria Math" w:hAnsi="Cambria Math"/>
                <w:i/>
              </w:rPr>
            </m:ctrlPr>
          </m:accPr>
          <m:e>
            <m:r>
              <m:rPr>
                <m:sty m:val="p"/>
              </m:rPr>
              <w:rPr>
                <w:rFonts w:ascii="Cambria Math" w:hAnsi="Cambria Math"/>
              </w:rPr>
              <m:t>X</m:t>
            </m:r>
            <m:r>
              <m:rPr>
                <m:sty m:val="bi"/>
              </m:rPr>
              <w:rPr>
                <w:rFonts w:ascii="Cambria Math" w:hAnsi="Cambria Math"/>
              </w:rPr>
              <m:t>к</m:t>
            </m:r>
          </m:e>
        </m:acc>
      </m:oMath>
      <w:r w:rsidR="00FC291A" w:rsidRPr="00AF11B9">
        <w:t xml:space="preserve">   – середньоарифметичне значення ряду курсів;</w:t>
      </w:r>
    </w:p>
    <w:p w:rsidR="00FC291A" w:rsidRPr="00AF11B9" w:rsidRDefault="00FC291A" w:rsidP="00FC291A">
      <w:pPr>
        <w:ind w:firstLine="709"/>
      </w:pPr>
      <m:oMath>
        <m:r>
          <m:rPr>
            <m:sty m:val="p"/>
          </m:rPr>
          <w:rPr>
            <w:rFonts w:ascii="Cambria Math" w:hAnsi="Cambria Math"/>
            <w:lang w:eastAsia="zh-CN"/>
          </w:rPr>
          <m:t xml:space="preserve"> n</m:t>
        </m:r>
      </m:oMath>
      <w:r w:rsidRPr="00AF11B9">
        <w:t xml:space="preserve">   – кількість угод;</w:t>
      </w:r>
    </w:p>
    <w:p w:rsidR="00FC291A" w:rsidRPr="00AF11B9" w:rsidRDefault="00FC291A" w:rsidP="00FC291A">
      <w:pPr>
        <w:ind w:firstLine="709"/>
      </w:pPr>
      <w:r w:rsidRPr="00AF11B9">
        <w:t xml:space="preserve"> </w:t>
      </w:r>
    </w:p>
    <w:p w:rsidR="00FC291A" w:rsidRPr="00AF11B9" w:rsidRDefault="00FC291A" w:rsidP="00FC291A">
      <w:pPr>
        <w:ind w:firstLine="709"/>
      </w:pPr>
      <w:r w:rsidRPr="008607FC">
        <w:t>3</w:t>
      </w:r>
      <w:r w:rsidRPr="00AF11B9">
        <w:t xml:space="preserve">) із ряду угод, отриманого після виконання </w:t>
      </w:r>
      <w:r w:rsidRPr="00B27D8B">
        <w:t>підпункту 1 пункту 2</w:t>
      </w:r>
      <w:r w:rsidRPr="00957E89">
        <w:rPr>
          <w:sz w:val="24"/>
          <w:szCs w:val="24"/>
        </w:rPr>
        <w:t xml:space="preserve"> </w:t>
      </w:r>
      <w:r>
        <w:t xml:space="preserve">Розрахунку, виключаються </w:t>
      </w:r>
      <w:r w:rsidRPr="00AF11B9">
        <w:t xml:space="preserve">угоди, курси яких відхиляються від середньоарифметичного значення курсу </w:t>
      </w:r>
      <m:oMath>
        <m:acc>
          <m:accPr>
            <m:chr m:val="̅"/>
            <m:ctrlPr>
              <w:rPr>
                <w:rFonts w:ascii="Cambria Math" w:hAnsi="Cambria Math"/>
                <w:i/>
              </w:rPr>
            </m:ctrlPr>
          </m:accPr>
          <m:e>
            <m:r>
              <m:rPr>
                <m:sty m:val="p"/>
              </m:rPr>
              <w:rPr>
                <w:rFonts w:ascii="Cambria Math" w:hAnsi="Cambria Math"/>
              </w:rPr>
              <m:t>X</m:t>
            </m:r>
            <m:r>
              <m:rPr>
                <m:sty m:val="bi"/>
              </m:rPr>
              <w:rPr>
                <w:rFonts w:ascii="Cambria Math" w:hAnsi="Cambria Math"/>
              </w:rPr>
              <m:t>к</m:t>
            </m:r>
          </m:e>
        </m:acc>
      </m:oMath>
      <w:r w:rsidRPr="00920D19">
        <w:t xml:space="preserve">  </w:t>
      </w:r>
      <w:r w:rsidRPr="00AF11B9">
        <w:t xml:space="preserve">більше ніж на два стандартних відхилення курсу </w:t>
      </w:r>
      <m:oMath>
        <m:sSub>
          <m:sSubPr>
            <m:ctrlPr>
              <w:rPr>
                <w:rFonts w:ascii="Cambria Math" w:hAnsi="Cambria Math"/>
                <w:lang w:eastAsia="zh-CN"/>
              </w:rPr>
            </m:ctrlPr>
          </m:sSubPr>
          <m:e>
            <m:r>
              <m:rPr>
                <m:sty m:val="p"/>
              </m:rPr>
              <w:rPr>
                <w:rFonts w:ascii="Cambria Math" w:hAnsi="Cambria Math"/>
                <w:lang w:eastAsia="zh-CN"/>
              </w:rPr>
              <m:t>σ</m:t>
            </m:r>
          </m:e>
          <m:sub>
            <m:r>
              <m:rPr>
                <m:sty m:val="p"/>
              </m:rPr>
              <w:rPr>
                <w:rFonts w:ascii="Cambria Math" w:hAnsi="Cambria Math"/>
                <w:lang w:eastAsia="zh-CN"/>
              </w:rPr>
              <m:t>k</m:t>
            </m:r>
          </m:sub>
        </m:sSub>
      </m:oMath>
      <w:r w:rsidRPr="00AF11B9">
        <w:rPr>
          <w:lang w:eastAsia="zh-CN"/>
        </w:rPr>
        <w:t>;</w:t>
      </w:r>
    </w:p>
    <w:p w:rsidR="00FC291A" w:rsidRPr="00AF11B9" w:rsidRDefault="00FC291A" w:rsidP="00FC291A">
      <w:pPr>
        <w:ind w:firstLine="709"/>
      </w:pPr>
    </w:p>
    <w:p w:rsidR="00FC291A" w:rsidRDefault="00FC291A" w:rsidP="00FC291A">
      <w:pPr>
        <w:ind w:firstLine="709"/>
      </w:pPr>
      <w:r w:rsidRPr="009F5820">
        <w:rPr>
          <w:lang w:val="ru-RU"/>
        </w:rPr>
        <w:t>4</w:t>
      </w:r>
      <w:r w:rsidRPr="00AF11B9">
        <w:t>) отриманий після виконання підпу</w:t>
      </w:r>
      <w:r>
        <w:t xml:space="preserve">нкту </w:t>
      </w:r>
      <w:r w:rsidRPr="00F26A28">
        <w:t>3 пункту 2</w:t>
      </w:r>
      <w:r>
        <w:t xml:space="preserve"> Розрахунку ряд </w:t>
      </w:r>
      <w:r w:rsidRPr="00AF11B9">
        <w:t>угод вважається базовим рядом для розрахунку офіційного курсу гривні до долара США і довідкового значення курсу гривні до долара США.</w:t>
      </w:r>
    </w:p>
    <w:p w:rsidR="00FC291A" w:rsidRPr="00AF11B9" w:rsidRDefault="00FC291A" w:rsidP="00FC291A">
      <w:pPr>
        <w:ind w:firstLine="709"/>
      </w:pPr>
      <w:r w:rsidRPr="00AF11B9">
        <w:t>Значення офіційного курсу гривні до долара США і довідкового курсу гривні до долара США розраховується як середньозважене значення курсу базового ряду за такою формулою:</w:t>
      </w:r>
    </w:p>
    <w:p w:rsidR="00FC291A" w:rsidRPr="00AF11B9" w:rsidRDefault="002D33DE" w:rsidP="00FC291A">
      <w:pPr>
        <w:ind w:firstLine="708"/>
      </w:pPr>
      <m:oMath>
        <m:acc>
          <m:accPr>
            <m:chr m:val="̅"/>
            <m:ctrlPr>
              <w:rPr>
                <w:rFonts w:ascii="Cambria Math" w:hAnsi="Cambria Math"/>
                <w:i/>
              </w:rPr>
            </m:ctrlPr>
          </m:accPr>
          <m:e>
            <m:r>
              <w:rPr>
                <w:rFonts w:ascii="Cambria Math" w:hAnsi="Cambria Math"/>
              </w:rPr>
              <m:t>K</m:t>
            </m:r>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O</m:t>
                    </m:r>
                  </m:e>
                  <m:sub>
                    <m:r>
                      <w:rPr>
                        <w:rFonts w:ascii="Cambria Math" w:hAnsi="Cambria Math"/>
                      </w:rPr>
                      <m:t>i</m:t>
                    </m:r>
                  </m:sub>
                </m:sSub>
              </m:e>
            </m:nary>
          </m:den>
        </m:f>
      </m:oMath>
      <w:r w:rsidR="00FC291A" w:rsidRPr="00AF11B9">
        <w:rPr>
          <w:i/>
        </w:rPr>
        <w:t xml:space="preserve"> ,</w:t>
      </w:r>
      <w:r w:rsidR="00FC291A" w:rsidRPr="00AF11B9">
        <w:t xml:space="preserve"> </w:t>
      </w:r>
    </w:p>
    <w:p w:rsidR="00FC291A" w:rsidRPr="00AF11B9" w:rsidRDefault="00FC291A" w:rsidP="00FC291A">
      <w:r w:rsidRPr="00AF11B9">
        <w:t xml:space="preserve">де      </w:t>
      </w:r>
      <m:oMath>
        <m:acc>
          <m:accPr>
            <m:chr m:val="̅"/>
            <m:ctrlPr>
              <w:rPr>
                <w:rFonts w:ascii="Cambria Math" w:hAnsi="Cambria Math"/>
                <w:i/>
              </w:rPr>
            </m:ctrlPr>
          </m:accPr>
          <m:e>
            <m:r>
              <w:rPr>
                <w:rFonts w:ascii="Cambria Math" w:hAnsi="Cambria Math"/>
              </w:rPr>
              <m:t>K</m:t>
            </m:r>
          </m:e>
        </m:acc>
      </m:oMath>
      <w:r>
        <w:t xml:space="preserve"> </w:t>
      </w:r>
      <w:r w:rsidRPr="00AF11B9">
        <w:rPr>
          <w:i/>
        </w:rPr>
        <w:t xml:space="preserve">‒ </w:t>
      </w:r>
      <w:r w:rsidRPr="00AF11B9">
        <w:t>середньозважене значення курсу;</w:t>
      </w:r>
    </w:p>
    <w:p w:rsidR="00FC291A" w:rsidRPr="00AF11B9" w:rsidRDefault="002D33DE" w:rsidP="00FC291A">
      <w:pPr>
        <w:ind w:firstLine="709"/>
      </w:pPr>
      <m:oMath>
        <m:sSub>
          <m:sSubPr>
            <m:ctrlPr>
              <w:rPr>
                <w:rFonts w:ascii="Cambria Math" w:hAnsi="Cambria Math"/>
                <w:i/>
              </w:rPr>
            </m:ctrlPr>
          </m:sSubPr>
          <m:e>
            <m:r>
              <w:rPr>
                <w:rFonts w:ascii="Cambria Math" w:hAnsi="Cambria Math"/>
              </w:rPr>
              <m:t>O</m:t>
            </m:r>
          </m:e>
          <m:sub>
            <m:r>
              <w:rPr>
                <w:rFonts w:ascii="Cambria Math" w:hAnsi="Cambria Math"/>
              </w:rPr>
              <m:t>i</m:t>
            </m:r>
          </m:sub>
        </m:sSub>
      </m:oMath>
      <w:r w:rsidR="00FC291A">
        <w:rPr>
          <w:i/>
        </w:rPr>
        <w:t xml:space="preserve"> </w:t>
      </w:r>
      <w:r w:rsidR="00FC291A" w:rsidRPr="00AF11B9">
        <w:rPr>
          <w:i/>
        </w:rPr>
        <w:t xml:space="preserve">‒ </w:t>
      </w:r>
      <w:r w:rsidR="00FC291A" w:rsidRPr="00AF11B9">
        <w:t xml:space="preserve">значення обсягу </w:t>
      </w:r>
      <w:r w:rsidR="00FC291A" w:rsidRPr="00920D19">
        <w:t>і-ї</w:t>
      </w:r>
      <w:r w:rsidR="00FC291A" w:rsidRPr="00AF11B9">
        <w:rPr>
          <w:color w:val="363636"/>
        </w:rPr>
        <w:t xml:space="preserve"> </w:t>
      </w:r>
      <w:r w:rsidR="00FC291A" w:rsidRPr="00AF11B9">
        <w:t>угоди;</w:t>
      </w:r>
    </w:p>
    <w:p w:rsidR="00FC291A" w:rsidRPr="00AF11B9" w:rsidRDefault="002D33DE" w:rsidP="00FC291A">
      <w:pPr>
        <w:ind w:firstLine="709"/>
        <w:rPr>
          <w:lang w:eastAsia="zh-CN"/>
        </w:rPr>
      </w:pPr>
      <m:oMath>
        <m:sSub>
          <m:sSubPr>
            <m:ctrlPr>
              <w:rPr>
                <w:rFonts w:ascii="Cambria Math" w:hAnsi="Cambria Math"/>
                <w:i/>
              </w:rPr>
            </m:ctrlPr>
          </m:sSubPr>
          <m:e>
            <m:r>
              <w:rPr>
                <w:rFonts w:ascii="Cambria Math" w:hAnsi="Cambria Math"/>
              </w:rPr>
              <m:t>K</m:t>
            </m:r>
          </m:e>
          <m:sub>
            <m:r>
              <w:rPr>
                <w:rFonts w:ascii="Cambria Math" w:hAnsi="Cambria Math"/>
              </w:rPr>
              <m:t>i</m:t>
            </m:r>
          </m:sub>
        </m:sSub>
        <m:r>
          <m:rPr>
            <m:sty m:val="p"/>
          </m:rPr>
          <w:rPr>
            <w:rFonts w:ascii="Cambria Math" w:hAnsi="Cambria Math"/>
            <w:lang w:eastAsia="zh-CN"/>
          </w:rPr>
          <m:t xml:space="preserve"> </m:t>
        </m:r>
        <m:r>
          <w:rPr>
            <w:rFonts w:ascii="Cambria Math" w:hAnsi="Cambria Math"/>
            <w:lang w:eastAsia="zh-CN"/>
          </w:rPr>
          <m:t xml:space="preserve"> </m:t>
        </m:r>
      </m:oMath>
      <w:r w:rsidR="00FC291A" w:rsidRPr="00AF11B9">
        <w:rPr>
          <w:i/>
          <w:lang w:eastAsia="zh-CN"/>
        </w:rPr>
        <w:t xml:space="preserve">– </w:t>
      </w:r>
      <w:r w:rsidR="00FC291A" w:rsidRPr="00AF11B9">
        <w:rPr>
          <w:lang w:eastAsia="zh-CN"/>
        </w:rPr>
        <w:t xml:space="preserve">значення курсу </w:t>
      </w:r>
      <w:r w:rsidR="00FC291A" w:rsidRPr="00920D19">
        <w:t xml:space="preserve">і-ї </w:t>
      </w:r>
      <w:r w:rsidR="00FC291A" w:rsidRPr="00AF11B9">
        <w:rPr>
          <w:lang w:eastAsia="zh-CN"/>
        </w:rPr>
        <w:t>угоди;</w:t>
      </w:r>
    </w:p>
    <w:p w:rsidR="00FC291A" w:rsidRPr="0066709D" w:rsidRDefault="00FC291A" w:rsidP="00FC291A">
      <w:pPr>
        <w:ind w:firstLine="709"/>
        <w:rPr>
          <w:lang w:val="ru-RU"/>
        </w:rPr>
      </w:pPr>
      <m:oMath>
        <m:r>
          <m:rPr>
            <m:sty m:val="p"/>
          </m:rPr>
          <w:rPr>
            <w:rFonts w:ascii="Cambria Math" w:hAnsi="Cambria Math"/>
            <w:lang w:eastAsia="zh-CN"/>
          </w:rPr>
          <m:t>n</m:t>
        </m:r>
      </m:oMath>
      <w:r>
        <w:t xml:space="preserve">  – кількість угод</w:t>
      </w:r>
      <w:r>
        <w:rPr>
          <w:lang w:val="ru-RU"/>
        </w:rPr>
        <w:t>.</w:t>
      </w:r>
    </w:p>
    <w:p w:rsidR="009E091C" w:rsidRDefault="009E091C" w:rsidP="00FC291A">
      <w:pPr>
        <w:ind w:firstLine="709"/>
        <w:rPr>
          <w:lang w:val="ru-RU"/>
        </w:rPr>
        <w:sectPr w:rsidR="009E091C" w:rsidSect="009E091C">
          <w:headerReference w:type="default" r:id="rId26"/>
          <w:pgSz w:w="11906" w:h="16838" w:code="9"/>
          <w:pgMar w:top="567" w:right="567" w:bottom="1701" w:left="1701" w:header="567" w:footer="567" w:gutter="0"/>
          <w:cols w:space="708"/>
          <w:docGrid w:linePitch="381"/>
        </w:sectPr>
      </w:pPr>
    </w:p>
    <w:p w:rsidR="00FC291A" w:rsidRDefault="00FC291A" w:rsidP="00FC291A">
      <w:pPr>
        <w:ind w:left="4111" w:firstLine="709"/>
      </w:pPr>
      <w:r w:rsidRPr="00B7760E">
        <w:lastRenderedPageBreak/>
        <w:t>Додаток 2</w:t>
      </w:r>
    </w:p>
    <w:p w:rsidR="00FC291A" w:rsidRDefault="00FC291A" w:rsidP="00FC291A">
      <w:pPr>
        <w:spacing w:line="120" w:lineRule="atLeast"/>
        <w:ind w:left="4820"/>
        <w:rPr>
          <w:rFonts w:eastAsiaTheme="minorEastAsia"/>
          <w:noProof/>
          <w:color w:val="000000" w:themeColor="text1"/>
          <w:lang w:eastAsia="en-US"/>
        </w:rPr>
      </w:pPr>
      <w:r w:rsidRPr="00AF11B9">
        <w:t>до Положення</w:t>
      </w:r>
      <w:r>
        <w:t xml:space="preserve"> </w:t>
      </w:r>
      <w:r w:rsidRPr="00AF11B9">
        <w:t xml:space="preserve">про </w:t>
      </w:r>
      <w:r w:rsidRPr="00706698">
        <w:rPr>
          <w:rFonts w:eastAsiaTheme="minorEastAsia"/>
          <w:noProof/>
          <w:color w:val="000000" w:themeColor="text1"/>
          <w:lang w:eastAsia="en-US"/>
        </w:rPr>
        <w:t>встановлення офіційного курсу гривні до іноземних валют та розрахунку довідкового значення курсу гривні до долара США й облікової ціни банківських металів</w:t>
      </w:r>
    </w:p>
    <w:p w:rsidR="00FD1E64" w:rsidRDefault="00780DCF" w:rsidP="00780DCF">
      <w:pPr>
        <w:spacing w:line="120" w:lineRule="atLeast"/>
        <w:ind w:left="4820"/>
        <w:rPr>
          <w:rFonts w:eastAsiaTheme="minorEastAsia"/>
          <w:noProof/>
          <w:color w:val="000000" w:themeColor="text1"/>
          <w:lang w:eastAsia="en-US"/>
        </w:rPr>
      </w:pPr>
      <w:r>
        <w:rPr>
          <w:rFonts w:eastAsiaTheme="minorEastAsia"/>
          <w:noProof/>
          <w:color w:val="000000" w:themeColor="text1"/>
          <w:lang w:eastAsia="en-US"/>
        </w:rPr>
        <w:t>(</w:t>
      </w:r>
      <w:r w:rsidRPr="00DD54FB">
        <w:rPr>
          <w:rFonts w:eastAsiaTheme="minorEastAsia"/>
          <w:noProof/>
          <w:color w:val="000000" w:themeColor="text1"/>
          <w:lang w:eastAsia="en-US"/>
        </w:rPr>
        <w:t>у редакції</w:t>
      </w:r>
      <w:r>
        <w:rPr>
          <w:rFonts w:eastAsiaTheme="minorEastAsia"/>
          <w:noProof/>
          <w:color w:val="000000" w:themeColor="text1"/>
          <w:lang w:eastAsia="en-US"/>
        </w:rPr>
        <w:t xml:space="preserve"> постанови Правління Національного банку України</w:t>
      </w:r>
    </w:p>
    <w:p w:rsidR="00780DCF" w:rsidRDefault="00FD1E64" w:rsidP="00780DCF">
      <w:pPr>
        <w:spacing w:line="120" w:lineRule="atLeast"/>
        <w:ind w:left="4820"/>
      </w:pPr>
      <w:r>
        <w:rPr>
          <w:rFonts w:eastAsiaTheme="minorEastAsia"/>
          <w:noProof/>
          <w:color w:val="000000" w:themeColor="text1"/>
          <w:lang w:eastAsia="en-US"/>
        </w:rPr>
        <w:t xml:space="preserve">від 30 листопада 2021 року </w:t>
      </w:r>
      <w:r w:rsidRPr="00FD1E64">
        <w:rPr>
          <w:rFonts w:eastAsiaTheme="minorEastAsia"/>
          <w:noProof/>
          <w:color w:val="000000" w:themeColor="text1"/>
          <w:lang w:eastAsia="en-US"/>
        </w:rPr>
        <w:t>№ 127)</w:t>
      </w:r>
    </w:p>
    <w:p w:rsidR="00FC291A" w:rsidRDefault="00FC291A" w:rsidP="00780DCF">
      <w:pPr>
        <w:spacing w:line="120" w:lineRule="atLeast"/>
        <w:ind w:left="4820"/>
      </w:pPr>
      <w:r w:rsidRPr="00B7760E">
        <w:t>(підпункт 1 пункту 7 розділу III)</w:t>
      </w:r>
    </w:p>
    <w:p w:rsidR="00FC291A" w:rsidRPr="00677DD1" w:rsidRDefault="00FC291A" w:rsidP="00FC291A">
      <w:pPr>
        <w:pStyle w:val="af4"/>
        <w:jc w:val="center"/>
        <w:rPr>
          <w:sz w:val="20"/>
          <w:lang w:val="uk-UA"/>
        </w:rPr>
      </w:pPr>
    </w:p>
    <w:p w:rsidR="00090B8B" w:rsidRDefault="00FC291A" w:rsidP="009E091C">
      <w:pPr>
        <w:jc w:val="center"/>
      </w:pPr>
      <w:r w:rsidRPr="00AF11B9">
        <w:t>Розрахунок офіційного курсу гривні до долара США</w:t>
      </w:r>
      <w:r w:rsidRPr="00FE5E5B">
        <w:t xml:space="preserve"> і довідкового значення курсу гривні до долара США</w:t>
      </w:r>
      <w:r>
        <w:rPr>
          <w:lang w:val="ru-RU"/>
        </w:rPr>
        <w:t xml:space="preserve"> </w:t>
      </w:r>
      <w:r w:rsidRPr="00AF11B9">
        <w:t>за особливих умов</w:t>
      </w:r>
    </w:p>
    <w:p w:rsidR="00090B8B" w:rsidRPr="00677DD1" w:rsidRDefault="00090B8B" w:rsidP="009E091C">
      <w:pPr>
        <w:jc w:val="center"/>
        <w:rPr>
          <w:sz w:val="16"/>
          <w:szCs w:val="16"/>
        </w:rPr>
      </w:pPr>
    </w:p>
    <w:p w:rsidR="00FC291A" w:rsidRDefault="00FC291A" w:rsidP="009E091C">
      <w:pPr>
        <w:jc w:val="center"/>
      </w:pPr>
      <w:r w:rsidRPr="003779CB">
        <w:t xml:space="preserve">1. Офіційний курс гривні до долара США </w:t>
      </w:r>
      <w:r w:rsidRPr="0008445E">
        <w:t>(далі – офіційний курс)</w:t>
      </w:r>
      <w:r w:rsidRPr="003779CB">
        <w:t xml:space="preserve"> розраховується:</w:t>
      </w:r>
      <w:r>
        <w:t xml:space="preserve"> </w:t>
      </w:r>
    </w:p>
    <w:p w:rsidR="009E091C" w:rsidRPr="00677DD1" w:rsidRDefault="009E091C" w:rsidP="009E091C">
      <w:pPr>
        <w:jc w:val="center"/>
        <w:rPr>
          <w:sz w:val="16"/>
          <w:szCs w:val="16"/>
        </w:rPr>
      </w:pPr>
    </w:p>
    <w:p w:rsidR="00FC291A" w:rsidRPr="0008445E" w:rsidRDefault="00FC291A" w:rsidP="00FC291A">
      <w:pPr>
        <w:ind w:firstLine="709"/>
      </w:pPr>
      <w:r w:rsidRPr="0008445E">
        <w:t>1) відповідно до розрахунку, наведеного в додатку 1 до Положення про встановлення офіційного курсу гривні до іноземних валют та розрахунку довідкового значення курсу гривні до долара США й облікової ціни банківських металів (далі – Положення), – якщо кількість угод з купівлі/продажу долара США на умовах “</w:t>
      </w:r>
      <w:proofErr w:type="spellStart"/>
      <w:r w:rsidRPr="0008445E">
        <w:t>тод</w:t>
      </w:r>
      <w:proofErr w:type="spellEnd"/>
      <w:r w:rsidRPr="0008445E">
        <w:t>”, “том” і “</w:t>
      </w:r>
      <w:proofErr w:type="spellStart"/>
      <w:r w:rsidRPr="0008445E">
        <w:t>спот</w:t>
      </w:r>
      <w:proofErr w:type="spellEnd"/>
      <w:r w:rsidRPr="0008445E">
        <w:t>” з обсягом від 100 тисяч доларів США до 5</w:t>
      </w:r>
      <w:r>
        <w:t> </w:t>
      </w:r>
      <w:r w:rsidRPr="0008445E">
        <w:t>мільйонів доларів США включно, які в день розрахунку офіційного курсу укладалися банками на валютному ринку України з іншими банками та з Національним банком та інформація про які надавалася Національному банку ТІС через відповідні канали обміну інформацією до 15.00 цього самого дня, є більше ніж 10% від середньоденного значення аналогічного показника за попередній плинний місяць;</w:t>
      </w:r>
    </w:p>
    <w:p w:rsidR="00FC291A" w:rsidRPr="00677DD1" w:rsidRDefault="00FC291A" w:rsidP="00FC291A">
      <w:pPr>
        <w:ind w:firstLine="709"/>
        <w:rPr>
          <w:sz w:val="24"/>
          <w:szCs w:val="24"/>
        </w:rPr>
      </w:pPr>
    </w:p>
    <w:p w:rsidR="00FC291A" w:rsidRPr="0008445E" w:rsidRDefault="00FC291A" w:rsidP="00FC291A">
      <w:pPr>
        <w:ind w:firstLine="709"/>
      </w:pPr>
      <w:r w:rsidRPr="0008445E">
        <w:t>2) як звичайне середньоарифметичне значення всіх курсових котирувань з купівлі та/або продажу доларів США, отриманих відповідно до абзацу п’ятого або шостого підпункту 1 пункту 7 розділу ІІІ Положення, – якщо кількість угод з купівлі/продажу долара США на умовах “</w:t>
      </w:r>
      <w:proofErr w:type="spellStart"/>
      <w:r w:rsidRPr="0008445E">
        <w:t>тод</w:t>
      </w:r>
      <w:proofErr w:type="spellEnd"/>
      <w:r w:rsidRPr="0008445E">
        <w:t>”, “том” і “</w:t>
      </w:r>
      <w:proofErr w:type="spellStart"/>
      <w:r w:rsidRPr="0008445E">
        <w:t>спот</w:t>
      </w:r>
      <w:proofErr w:type="spellEnd"/>
      <w:r w:rsidRPr="0008445E">
        <w:t>” з обсягом від 100</w:t>
      </w:r>
      <w:r>
        <w:t> </w:t>
      </w:r>
      <w:r w:rsidRPr="0008445E">
        <w:t xml:space="preserve">тисяч доларів США до 5 мільйонів доларів США включно, які в день розрахунку офіційного курсу укладалися банками на валютному ринку України з іншими банками та з Національним банком та інформація про які надавалася Національному банку ТІС через відповідні канали обміну інформацією до 15.00 цього самого дня, є менше або дорівнює 10% від середньоденного значення аналогічного показника за попередній плинний місяць та з дотриманням умови, що викладена в абзаці сьомому підпункту 1 пункту 7 розділу ІІІ Положення; </w:t>
      </w:r>
    </w:p>
    <w:p w:rsidR="00FC291A" w:rsidRPr="00677DD1" w:rsidRDefault="00FC291A" w:rsidP="00FC291A">
      <w:pPr>
        <w:ind w:firstLine="709"/>
        <w:rPr>
          <w:sz w:val="24"/>
          <w:szCs w:val="24"/>
        </w:rPr>
      </w:pPr>
    </w:p>
    <w:p w:rsidR="00FC291A" w:rsidRPr="0008445E" w:rsidRDefault="00FC291A" w:rsidP="00FC291A">
      <w:pPr>
        <w:ind w:firstLine="709"/>
      </w:pPr>
      <w:r w:rsidRPr="003779CB">
        <w:t xml:space="preserve">3) як значення, яке дорівнює </w:t>
      </w:r>
      <w:r w:rsidRPr="0008445E">
        <w:t>офіційному курсу,</w:t>
      </w:r>
      <w:r w:rsidRPr="003779CB">
        <w:t xml:space="preserve"> що діє на день здійснення розрахунку, – якщо не виконується жодна з умов для розрахунку, передбачена </w:t>
      </w:r>
      <w:r w:rsidR="009D3203">
        <w:t>в</w:t>
      </w:r>
      <w:r w:rsidR="009D3203" w:rsidRPr="0008445E">
        <w:t xml:space="preserve"> </w:t>
      </w:r>
      <w:r w:rsidRPr="0008445E">
        <w:t>підпунктах 1 та 2 пункту 1 додатк</w:t>
      </w:r>
      <w:r w:rsidR="009D3203">
        <w:t>а</w:t>
      </w:r>
      <w:r w:rsidRPr="0008445E">
        <w:t xml:space="preserve"> 2 </w:t>
      </w:r>
      <w:r>
        <w:t xml:space="preserve">до </w:t>
      </w:r>
      <w:r w:rsidRPr="0008445E">
        <w:t>Положення.</w:t>
      </w:r>
    </w:p>
    <w:p w:rsidR="00FC291A" w:rsidRDefault="009D3203" w:rsidP="00920D19">
      <w:pPr>
        <w:ind w:firstLine="709"/>
        <w:jc w:val="right"/>
      </w:pPr>
      <w:r>
        <w:lastRenderedPageBreak/>
        <w:t>Продовження додатка 2</w:t>
      </w:r>
    </w:p>
    <w:p w:rsidR="009D3203" w:rsidRPr="00677DD1" w:rsidRDefault="009D3203" w:rsidP="00FC291A">
      <w:pPr>
        <w:ind w:firstLine="709"/>
        <w:rPr>
          <w:sz w:val="24"/>
          <w:szCs w:val="24"/>
        </w:rPr>
      </w:pPr>
    </w:p>
    <w:p w:rsidR="00FC291A" w:rsidRPr="0008445E" w:rsidRDefault="00FC291A" w:rsidP="00FC291A">
      <w:pPr>
        <w:ind w:firstLine="709"/>
      </w:pPr>
      <w:r w:rsidRPr="0008445E">
        <w:t>2. Довідкове значення курсу гривні до долара США (далі – довідкове значення курсу) розраховується:</w:t>
      </w:r>
    </w:p>
    <w:p w:rsidR="00FC291A" w:rsidRPr="0008445E" w:rsidRDefault="00FC291A" w:rsidP="00FC291A">
      <w:pPr>
        <w:ind w:firstLine="709"/>
      </w:pPr>
    </w:p>
    <w:p w:rsidR="00FC291A" w:rsidRPr="00131F77" w:rsidRDefault="00FC291A" w:rsidP="00FC291A">
      <w:pPr>
        <w:ind w:firstLine="709"/>
      </w:pPr>
      <w:r w:rsidRPr="00131F77">
        <w:t>1) відповідно до розрахунку, наведеного в додатку 1 до Положення, – якщо кількість угод з купівлі/продажу долара США на умовах “</w:t>
      </w:r>
      <w:proofErr w:type="spellStart"/>
      <w:r w:rsidRPr="00131F77">
        <w:t>тод</w:t>
      </w:r>
      <w:proofErr w:type="spellEnd"/>
      <w:r w:rsidRPr="00131F77">
        <w:t>”, “том” і “</w:t>
      </w:r>
      <w:proofErr w:type="spellStart"/>
      <w:r w:rsidRPr="00131F77">
        <w:t>спот</w:t>
      </w:r>
      <w:proofErr w:type="spellEnd"/>
      <w:r w:rsidRPr="00131F77">
        <w:t>” з обсягом від 100 тисяч доларів США до 5 мільйонів доларів США включно, які в день розрахунку довідкового значення курсу укладалися банками на валютному ринку України з іншими банками та з Національним банком та інформація про які надавалася Національному банку ТІС через відповідні канали обміну інформацією до 12.00 цього самого дня, є більше ніж 10% від середньоденного значення аналогічного показника за попередній плинний місяць;</w:t>
      </w:r>
    </w:p>
    <w:p w:rsidR="00FC291A" w:rsidRPr="00131F77" w:rsidRDefault="00FC291A" w:rsidP="00FC291A">
      <w:pPr>
        <w:ind w:firstLine="709"/>
      </w:pPr>
    </w:p>
    <w:p w:rsidR="00FC291A" w:rsidRPr="006559D1" w:rsidRDefault="00FC291A" w:rsidP="00FC291A">
      <w:pPr>
        <w:ind w:firstLine="709"/>
      </w:pPr>
      <w:r w:rsidRPr="006559D1">
        <w:t>2) як звичайне середньоарифметичне значення всіх курсових котирувань з купівлі та/або продажу доларів США, отриманих відповідно до абзац</w:t>
      </w:r>
      <w:r w:rsidR="009D3203">
        <w:t>ів</w:t>
      </w:r>
      <w:r w:rsidRPr="006559D1">
        <w:t xml:space="preserve"> п’ятого та шостого пункту 15 розділу ІV Положення</w:t>
      </w:r>
      <w:r w:rsidR="009D3203">
        <w:t>,</w:t>
      </w:r>
      <w:r w:rsidRPr="006559D1">
        <w:t xml:space="preserve"> – якщо кількість угод з купівлі/продажу долара США на умовах “</w:t>
      </w:r>
      <w:proofErr w:type="spellStart"/>
      <w:r w:rsidRPr="006559D1">
        <w:t>тод</w:t>
      </w:r>
      <w:proofErr w:type="spellEnd"/>
      <w:r w:rsidRPr="006559D1">
        <w:t>”, “том” і “</w:t>
      </w:r>
      <w:proofErr w:type="spellStart"/>
      <w:r w:rsidRPr="006559D1">
        <w:t>спот</w:t>
      </w:r>
      <w:proofErr w:type="spellEnd"/>
      <w:r w:rsidRPr="006559D1">
        <w:t>” з обсягом від 100</w:t>
      </w:r>
      <w:r>
        <w:t> </w:t>
      </w:r>
      <w:r w:rsidRPr="006559D1">
        <w:t>тисяч доларів США до 5 мільйонів доларів США включно, які в день розрахунку довідкового значення курсу укладалися банками на валютному ринку України з іншими банками та з Національним банком та інформація про які надавалася Національному банку ТІС через відповідні канали обміну інформацією до 12.00 цього самого дня, є менше або дорівнює 10% від середньоденного значення аналогічного показника за попередній плинний місяць та за дотриманням умови, що викладена в абзаці сьомому пункту 15 розділу ІV Положення;</w:t>
      </w:r>
    </w:p>
    <w:p w:rsidR="00FC291A" w:rsidRPr="00131F77" w:rsidRDefault="00FC291A" w:rsidP="00FC291A">
      <w:pPr>
        <w:ind w:firstLine="709"/>
      </w:pPr>
    </w:p>
    <w:p w:rsidR="00FC291A" w:rsidRPr="00DC3012" w:rsidRDefault="00FC291A" w:rsidP="00FC291A">
      <w:pPr>
        <w:ind w:firstLine="709"/>
      </w:pPr>
      <w:r w:rsidRPr="00131F77">
        <w:t xml:space="preserve">3) як значення, яке дорівнює довідковому значенню курсу гривні до долара США, що було розраховане в попередній робочий день, – якщо не виконується жодна з умов для розрахунку, передбачена </w:t>
      </w:r>
      <w:r w:rsidR="00CD240E">
        <w:t>в</w:t>
      </w:r>
      <w:r w:rsidR="00CD240E" w:rsidRPr="00131F77">
        <w:t xml:space="preserve"> </w:t>
      </w:r>
      <w:r w:rsidRPr="00131F77">
        <w:t xml:space="preserve">підпунктах 1 та 2 пункту 2 </w:t>
      </w:r>
      <w:r w:rsidR="00CD240E" w:rsidRPr="00131F77">
        <w:t>додатк</w:t>
      </w:r>
      <w:r w:rsidR="00CD240E">
        <w:t>а</w:t>
      </w:r>
      <w:r w:rsidR="00CD240E" w:rsidRPr="00131F77">
        <w:t xml:space="preserve"> </w:t>
      </w:r>
      <w:r w:rsidRPr="00131F77">
        <w:t>2</w:t>
      </w:r>
      <w:r>
        <w:t xml:space="preserve"> до</w:t>
      </w:r>
      <w:r w:rsidRPr="00131F77">
        <w:t xml:space="preserve"> Положення.</w:t>
      </w:r>
      <w:r w:rsidRPr="00DC3012">
        <w:t>”.</w:t>
      </w:r>
    </w:p>
    <w:p w:rsidR="00FC291A" w:rsidRPr="006559D1" w:rsidRDefault="00FC291A" w:rsidP="00FC291A">
      <w:pPr>
        <w:ind w:firstLine="709"/>
      </w:pPr>
    </w:p>
    <w:p w:rsidR="00FA508E" w:rsidRPr="00CD0CD4" w:rsidRDefault="00FA508E" w:rsidP="00FA508E">
      <w:pPr>
        <w:jc w:val="left"/>
      </w:pPr>
    </w:p>
    <w:sectPr w:rsidR="00FA508E" w:rsidRPr="00CD0CD4" w:rsidSect="009E091C">
      <w:headerReference w:type="default" r:id="rId27"/>
      <w:headerReference w:type="first" r:id="rId28"/>
      <w:pgSz w:w="11906" w:h="16838" w:code="9"/>
      <w:pgMar w:top="567" w:right="567" w:bottom="1701"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3DE" w:rsidRDefault="002D33DE" w:rsidP="00E53CCD">
      <w:r>
        <w:separator/>
      </w:r>
    </w:p>
  </w:endnote>
  <w:endnote w:type="continuationSeparator" w:id="0">
    <w:p w:rsidR="002D33DE" w:rsidRDefault="002D33DE"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3DE" w:rsidRDefault="002D33DE" w:rsidP="00E53CCD">
      <w:r>
        <w:separator/>
      </w:r>
    </w:p>
  </w:footnote>
  <w:footnote w:type="continuationSeparator" w:id="0">
    <w:p w:rsidR="002D33DE" w:rsidRDefault="002D33DE"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rsidR="00460BA2" w:rsidRDefault="00FE0B90">
        <w:pPr>
          <w:pStyle w:val="a5"/>
          <w:jc w:val="center"/>
        </w:pPr>
        <w:r>
          <w:fldChar w:fldCharType="begin"/>
        </w:r>
        <w:r w:rsidR="00460BA2">
          <w:instrText xml:space="preserve"> PAGE   \* MERGEFORMAT </w:instrText>
        </w:r>
        <w:r>
          <w:fldChar w:fldCharType="separate"/>
        </w:r>
        <w:r w:rsidR="00FC291A">
          <w:rPr>
            <w:noProof/>
          </w:rPr>
          <w:t>2</w:t>
        </w:r>
        <w:r>
          <w:fldChar w:fldCharType="end"/>
        </w:r>
      </w:p>
    </w:sdtContent>
  </w:sdt>
  <w:p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440068"/>
      <w:docPartObj>
        <w:docPartGallery w:val="Page Numbers (Top of Page)"/>
        <w:docPartUnique/>
      </w:docPartObj>
    </w:sdtPr>
    <w:sdtEndPr/>
    <w:sdtContent>
      <w:p w:rsidR="009E091C" w:rsidRDefault="009E091C">
        <w:pPr>
          <w:pStyle w:val="a5"/>
          <w:jc w:val="center"/>
        </w:pPr>
        <w:r>
          <w:fldChar w:fldCharType="begin"/>
        </w:r>
        <w:r>
          <w:instrText>PAGE   \* MERGEFORMAT</w:instrText>
        </w:r>
        <w:r>
          <w:fldChar w:fldCharType="separate"/>
        </w:r>
        <w:r w:rsidR="00FD1E64">
          <w:rPr>
            <w:noProof/>
          </w:rPr>
          <w:t>3</w:t>
        </w:r>
        <w:r>
          <w:fldChar w:fldCharType="end"/>
        </w:r>
      </w:p>
    </w:sdtContent>
  </w:sdt>
  <w:p w:rsidR="00FC291A" w:rsidRDefault="00FC291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1C" w:rsidRPr="009E091C" w:rsidRDefault="009E091C">
    <w:pPr>
      <w:pStyle w:val="a5"/>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897418"/>
      <w:docPartObj>
        <w:docPartGallery w:val="Page Numbers (Top of Page)"/>
        <w:docPartUnique/>
      </w:docPartObj>
    </w:sdtPr>
    <w:sdtEndPr/>
    <w:sdtContent>
      <w:p w:rsidR="009E091C" w:rsidRDefault="009E091C">
        <w:pPr>
          <w:pStyle w:val="a5"/>
          <w:jc w:val="center"/>
        </w:pPr>
        <w:r>
          <w:fldChar w:fldCharType="begin"/>
        </w:r>
        <w:r>
          <w:instrText>PAGE   \* MERGEFORMAT</w:instrText>
        </w:r>
        <w:r>
          <w:fldChar w:fldCharType="separate"/>
        </w:r>
        <w:r w:rsidR="00FD1E64">
          <w:rPr>
            <w:noProof/>
          </w:rPr>
          <w:t>5</w:t>
        </w:r>
        <w:r>
          <w:fldChar w:fldCharType="end"/>
        </w:r>
        <w:r>
          <w:rPr>
            <w:lang w:val="en-US"/>
          </w:rPr>
          <w:t xml:space="preserve">              </w:t>
        </w:r>
      </w:p>
    </w:sdtContent>
  </w:sdt>
  <w:p w:rsidR="009E091C" w:rsidRDefault="009E091C">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066182"/>
      <w:docPartObj>
        <w:docPartGallery w:val="Page Numbers (Top of Page)"/>
        <w:docPartUnique/>
      </w:docPartObj>
    </w:sdtPr>
    <w:sdtEndPr/>
    <w:sdtContent>
      <w:p w:rsidR="008F4E0C" w:rsidRDefault="009E091C" w:rsidP="009E091C">
        <w:pPr>
          <w:pStyle w:val="a5"/>
          <w:jc w:val="center"/>
        </w:pPr>
        <w:r>
          <w:rPr>
            <w:lang w:val="en-US"/>
          </w:rPr>
          <w:t>7</w:t>
        </w:r>
        <w:r w:rsidR="00FC291A">
          <w:rPr>
            <w:lang w:val="en-US"/>
          </w:rPr>
          <w:t xml:space="preserve"> </w:t>
        </w:r>
        <w:r w:rsidR="00FC291A">
          <w:t xml:space="preserve">                       </w:t>
        </w:r>
      </w:p>
    </w:sdtContent>
  </w:sdt>
  <w:p w:rsidR="008F4E0C" w:rsidRDefault="002D33DE">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54496"/>
      <w:docPartObj>
        <w:docPartGallery w:val="Page Numbers (Top of Page)"/>
        <w:docPartUnique/>
      </w:docPartObj>
    </w:sdtPr>
    <w:sdtEndPr/>
    <w:sdtContent>
      <w:p w:rsidR="009E091C" w:rsidRDefault="009E091C">
        <w:pPr>
          <w:pStyle w:val="a5"/>
          <w:jc w:val="center"/>
        </w:pPr>
        <w:r>
          <w:fldChar w:fldCharType="begin"/>
        </w:r>
        <w:r>
          <w:instrText>PAGE   \* MERGEFORMAT</w:instrText>
        </w:r>
        <w:r>
          <w:fldChar w:fldCharType="separate"/>
        </w:r>
        <w:r w:rsidR="00FD1E64">
          <w:rPr>
            <w:noProof/>
          </w:rPr>
          <w:t>6</w:t>
        </w:r>
        <w:r>
          <w:fldChar w:fldCharType="end"/>
        </w:r>
      </w:p>
    </w:sdtContent>
  </w:sdt>
  <w:p w:rsidR="009E091C" w:rsidRPr="009E091C" w:rsidRDefault="009E091C">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3331E"/>
    <w:rsid w:val="000342A5"/>
    <w:rsid w:val="0003793C"/>
    <w:rsid w:val="000543C6"/>
    <w:rsid w:val="000600A8"/>
    <w:rsid w:val="00061C52"/>
    <w:rsid w:val="00063480"/>
    <w:rsid w:val="000638F2"/>
    <w:rsid w:val="00090B8B"/>
    <w:rsid w:val="000B2990"/>
    <w:rsid w:val="000D778F"/>
    <w:rsid w:val="000E0CB3"/>
    <w:rsid w:val="000E5B8C"/>
    <w:rsid w:val="000E7A13"/>
    <w:rsid w:val="000F572C"/>
    <w:rsid w:val="00106229"/>
    <w:rsid w:val="00115ECF"/>
    <w:rsid w:val="001631E2"/>
    <w:rsid w:val="001716B0"/>
    <w:rsid w:val="001740C0"/>
    <w:rsid w:val="00185CA8"/>
    <w:rsid w:val="00190E1A"/>
    <w:rsid w:val="001A0EE5"/>
    <w:rsid w:val="001A16FA"/>
    <w:rsid w:val="001A4CB9"/>
    <w:rsid w:val="001A6795"/>
    <w:rsid w:val="001C206C"/>
    <w:rsid w:val="001D487A"/>
    <w:rsid w:val="002238D1"/>
    <w:rsid w:val="00233F37"/>
    <w:rsid w:val="00241373"/>
    <w:rsid w:val="00253BF9"/>
    <w:rsid w:val="0025455E"/>
    <w:rsid w:val="00264983"/>
    <w:rsid w:val="00266678"/>
    <w:rsid w:val="00276988"/>
    <w:rsid w:val="00280DCC"/>
    <w:rsid w:val="00285DDA"/>
    <w:rsid w:val="00290169"/>
    <w:rsid w:val="002A2391"/>
    <w:rsid w:val="002B351E"/>
    <w:rsid w:val="002B3F71"/>
    <w:rsid w:val="002B582B"/>
    <w:rsid w:val="002C01D9"/>
    <w:rsid w:val="002C1FDB"/>
    <w:rsid w:val="002D1790"/>
    <w:rsid w:val="002D33DE"/>
    <w:rsid w:val="002F48EF"/>
    <w:rsid w:val="00307EBE"/>
    <w:rsid w:val="00332701"/>
    <w:rsid w:val="00340D07"/>
    <w:rsid w:val="00345982"/>
    <w:rsid w:val="0035073E"/>
    <w:rsid w:val="00356E34"/>
    <w:rsid w:val="00357676"/>
    <w:rsid w:val="0038385E"/>
    <w:rsid w:val="00384F65"/>
    <w:rsid w:val="0039725C"/>
    <w:rsid w:val="003A16E7"/>
    <w:rsid w:val="003A751F"/>
    <w:rsid w:val="003C10F1"/>
    <w:rsid w:val="003C3282"/>
    <w:rsid w:val="003C3985"/>
    <w:rsid w:val="003D6B33"/>
    <w:rsid w:val="003F0441"/>
    <w:rsid w:val="003F28B5"/>
    <w:rsid w:val="003F7093"/>
    <w:rsid w:val="00401EDB"/>
    <w:rsid w:val="00404C93"/>
    <w:rsid w:val="00407877"/>
    <w:rsid w:val="004130B9"/>
    <w:rsid w:val="00446704"/>
    <w:rsid w:val="00455B45"/>
    <w:rsid w:val="00460BA2"/>
    <w:rsid w:val="004666D6"/>
    <w:rsid w:val="00473EF2"/>
    <w:rsid w:val="004A1CFC"/>
    <w:rsid w:val="004A7F75"/>
    <w:rsid w:val="004B1FE9"/>
    <w:rsid w:val="004B5574"/>
    <w:rsid w:val="004D2B57"/>
    <w:rsid w:val="004E22E2"/>
    <w:rsid w:val="0050563F"/>
    <w:rsid w:val="005212A1"/>
    <w:rsid w:val="005212C5"/>
    <w:rsid w:val="00523C13"/>
    <w:rsid w:val="00524F07"/>
    <w:rsid w:val="005257C2"/>
    <w:rsid w:val="00532633"/>
    <w:rsid w:val="005403F1"/>
    <w:rsid w:val="00542533"/>
    <w:rsid w:val="005624B6"/>
    <w:rsid w:val="00562C46"/>
    <w:rsid w:val="0057237F"/>
    <w:rsid w:val="00573F75"/>
    <w:rsid w:val="00577402"/>
    <w:rsid w:val="005822CB"/>
    <w:rsid w:val="00597AB6"/>
    <w:rsid w:val="005A0F4B"/>
    <w:rsid w:val="005A1D3C"/>
    <w:rsid w:val="005A3F34"/>
    <w:rsid w:val="005B2D03"/>
    <w:rsid w:val="005C5CBF"/>
    <w:rsid w:val="005D3B88"/>
    <w:rsid w:val="005D45F5"/>
    <w:rsid w:val="005E3FA8"/>
    <w:rsid w:val="005F4548"/>
    <w:rsid w:val="005F4CB4"/>
    <w:rsid w:val="005F6B35"/>
    <w:rsid w:val="00640612"/>
    <w:rsid w:val="0064227D"/>
    <w:rsid w:val="0065179F"/>
    <w:rsid w:val="00657593"/>
    <w:rsid w:val="00670C95"/>
    <w:rsid w:val="00677DD1"/>
    <w:rsid w:val="006925CE"/>
    <w:rsid w:val="00692C8C"/>
    <w:rsid w:val="006B2748"/>
    <w:rsid w:val="006B465F"/>
    <w:rsid w:val="006C06A1"/>
    <w:rsid w:val="006C0F22"/>
    <w:rsid w:val="006C13B1"/>
    <w:rsid w:val="006C4176"/>
    <w:rsid w:val="006C66EF"/>
    <w:rsid w:val="006D2617"/>
    <w:rsid w:val="00700AA3"/>
    <w:rsid w:val="007142BA"/>
    <w:rsid w:val="00714823"/>
    <w:rsid w:val="00717197"/>
    <w:rsid w:val="0071789F"/>
    <w:rsid w:val="00730088"/>
    <w:rsid w:val="00747222"/>
    <w:rsid w:val="00750898"/>
    <w:rsid w:val="0076356A"/>
    <w:rsid w:val="007712EF"/>
    <w:rsid w:val="00773559"/>
    <w:rsid w:val="00780DCF"/>
    <w:rsid w:val="0078127A"/>
    <w:rsid w:val="00783AF2"/>
    <w:rsid w:val="00787E46"/>
    <w:rsid w:val="007A6609"/>
    <w:rsid w:val="007B7B73"/>
    <w:rsid w:val="007C2CED"/>
    <w:rsid w:val="007F16F3"/>
    <w:rsid w:val="00802988"/>
    <w:rsid w:val="008274C0"/>
    <w:rsid w:val="008415A0"/>
    <w:rsid w:val="0085364B"/>
    <w:rsid w:val="0086605C"/>
    <w:rsid w:val="00866993"/>
    <w:rsid w:val="00874366"/>
    <w:rsid w:val="008762D8"/>
    <w:rsid w:val="00897035"/>
    <w:rsid w:val="008B1589"/>
    <w:rsid w:val="008B5CF2"/>
    <w:rsid w:val="008B74DD"/>
    <w:rsid w:val="008C72B5"/>
    <w:rsid w:val="008D10FD"/>
    <w:rsid w:val="008D122F"/>
    <w:rsid w:val="008D5F60"/>
    <w:rsid w:val="008D727F"/>
    <w:rsid w:val="008F0210"/>
    <w:rsid w:val="008F2600"/>
    <w:rsid w:val="008F5D52"/>
    <w:rsid w:val="00904F17"/>
    <w:rsid w:val="00920D19"/>
    <w:rsid w:val="00922966"/>
    <w:rsid w:val="0092710A"/>
    <w:rsid w:val="00937AE3"/>
    <w:rsid w:val="00937D24"/>
    <w:rsid w:val="00943175"/>
    <w:rsid w:val="0095741D"/>
    <w:rsid w:val="0097288F"/>
    <w:rsid w:val="0098207E"/>
    <w:rsid w:val="00990AAE"/>
    <w:rsid w:val="009B43BC"/>
    <w:rsid w:val="009B6120"/>
    <w:rsid w:val="009C2F76"/>
    <w:rsid w:val="009D3203"/>
    <w:rsid w:val="009E091C"/>
    <w:rsid w:val="009F5312"/>
    <w:rsid w:val="00A02655"/>
    <w:rsid w:val="00A02AEC"/>
    <w:rsid w:val="00A0594A"/>
    <w:rsid w:val="00A12C47"/>
    <w:rsid w:val="00A23E04"/>
    <w:rsid w:val="00A46C15"/>
    <w:rsid w:val="00A50DC0"/>
    <w:rsid w:val="00A51347"/>
    <w:rsid w:val="00A63695"/>
    <w:rsid w:val="00A677EE"/>
    <w:rsid w:val="00A72F06"/>
    <w:rsid w:val="00A730F2"/>
    <w:rsid w:val="00A77FFD"/>
    <w:rsid w:val="00AB4554"/>
    <w:rsid w:val="00AC47B6"/>
    <w:rsid w:val="00AD7DF9"/>
    <w:rsid w:val="00AE29BB"/>
    <w:rsid w:val="00AE2CAF"/>
    <w:rsid w:val="00AF33D9"/>
    <w:rsid w:val="00B002E4"/>
    <w:rsid w:val="00B332B2"/>
    <w:rsid w:val="00B34CCC"/>
    <w:rsid w:val="00B36EC7"/>
    <w:rsid w:val="00B36EDD"/>
    <w:rsid w:val="00B61C97"/>
    <w:rsid w:val="00B628C5"/>
    <w:rsid w:val="00B71933"/>
    <w:rsid w:val="00B8078D"/>
    <w:rsid w:val="00BD12A3"/>
    <w:rsid w:val="00BD6D34"/>
    <w:rsid w:val="00BD7F6E"/>
    <w:rsid w:val="00BF47B0"/>
    <w:rsid w:val="00BF5327"/>
    <w:rsid w:val="00C1387D"/>
    <w:rsid w:val="00C21D33"/>
    <w:rsid w:val="00C3382F"/>
    <w:rsid w:val="00C4377C"/>
    <w:rsid w:val="00C47F0F"/>
    <w:rsid w:val="00C51D84"/>
    <w:rsid w:val="00C52506"/>
    <w:rsid w:val="00C667F4"/>
    <w:rsid w:val="00C82259"/>
    <w:rsid w:val="00C9297C"/>
    <w:rsid w:val="00C94014"/>
    <w:rsid w:val="00CB0A99"/>
    <w:rsid w:val="00CB5A09"/>
    <w:rsid w:val="00CD0CD4"/>
    <w:rsid w:val="00CD240E"/>
    <w:rsid w:val="00CE3B9F"/>
    <w:rsid w:val="00CF1FB8"/>
    <w:rsid w:val="00CF2C65"/>
    <w:rsid w:val="00D078B6"/>
    <w:rsid w:val="00D1022C"/>
    <w:rsid w:val="00D27115"/>
    <w:rsid w:val="00D27A2F"/>
    <w:rsid w:val="00D34DCC"/>
    <w:rsid w:val="00D61D9B"/>
    <w:rsid w:val="00DA2F09"/>
    <w:rsid w:val="00DC1E60"/>
    <w:rsid w:val="00DD60CC"/>
    <w:rsid w:val="00DE18F0"/>
    <w:rsid w:val="00DE1BC8"/>
    <w:rsid w:val="00DF4D12"/>
    <w:rsid w:val="00E10AE2"/>
    <w:rsid w:val="00E10F0A"/>
    <w:rsid w:val="00E153AA"/>
    <w:rsid w:val="00E21875"/>
    <w:rsid w:val="00E25407"/>
    <w:rsid w:val="00E31CC7"/>
    <w:rsid w:val="00E32599"/>
    <w:rsid w:val="00E33B0E"/>
    <w:rsid w:val="00E42621"/>
    <w:rsid w:val="00E446A6"/>
    <w:rsid w:val="00E53CB5"/>
    <w:rsid w:val="00E53CCD"/>
    <w:rsid w:val="00E62607"/>
    <w:rsid w:val="00E63B18"/>
    <w:rsid w:val="00E71855"/>
    <w:rsid w:val="00E719A9"/>
    <w:rsid w:val="00EA1DE4"/>
    <w:rsid w:val="00EA60EA"/>
    <w:rsid w:val="00EB29BF"/>
    <w:rsid w:val="00EC7C7F"/>
    <w:rsid w:val="00EE1B30"/>
    <w:rsid w:val="00EF4B42"/>
    <w:rsid w:val="00F003D3"/>
    <w:rsid w:val="00F008AB"/>
    <w:rsid w:val="00F03E32"/>
    <w:rsid w:val="00F42289"/>
    <w:rsid w:val="00F42E75"/>
    <w:rsid w:val="00F45D65"/>
    <w:rsid w:val="00F517FA"/>
    <w:rsid w:val="00F52D16"/>
    <w:rsid w:val="00F62D67"/>
    <w:rsid w:val="00F63BD9"/>
    <w:rsid w:val="00F6694C"/>
    <w:rsid w:val="00F8145F"/>
    <w:rsid w:val="00F9283D"/>
    <w:rsid w:val="00F96F18"/>
    <w:rsid w:val="00FA508E"/>
    <w:rsid w:val="00FA5320"/>
    <w:rsid w:val="00FA7846"/>
    <w:rsid w:val="00FC26E5"/>
    <w:rsid w:val="00FC291A"/>
    <w:rsid w:val="00FD19F1"/>
    <w:rsid w:val="00FD1E64"/>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8FD90"/>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f4">
    <w:name w:val="Normal (Web)"/>
    <w:basedOn w:val="a"/>
    <w:link w:val="af5"/>
    <w:qFormat/>
    <w:rsid w:val="00FC291A"/>
    <w:pPr>
      <w:spacing w:before="100" w:after="100"/>
      <w:jc w:val="left"/>
    </w:pPr>
    <w:rPr>
      <w:sz w:val="24"/>
      <w:szCs w:val="20"/>
      <w:lang w:val="ru-RU"/>
    </w:rPr>
  </w:style>
  <w:style w:type="character" w:customStyle="1" w:styleId="af5">
    <w:name w:val="Звичайний (веб) Знак"/>
    <w:link w:val="af4"/>
    <w:locked/>
    <w:rsid w:val="00FC291A"/>
    <w:rPr>
      <w:rFonts w:ascii="Times New Roman" w:hAnsi="Times New Roman" w:cs="Times New Roman"/>
      <w:sz w:val="24"/>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BA03F31-3079-41E3-86D2-272CA26E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9717</Words>
  <Characters>5540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Фоменко Олена Миколаївна</cp:lastModifiedBy>
  <cp:revision>8</cp:revision>
  <cp:lastPrinted>2021-12-01T09:22:00Z</cp:lastPrinted>
  <dcterms:created xsi:type="dcterms:W3CDTF">2021-11-30T16:24:00Z</dcterms:created>
  <dcterms:modified xsi:type="dcterms:W3CDTF">2021-12-01T14:53:00Z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