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D10E3" w14:textId="748F4899" w:rsidR="00731ACC" w:rsidRDefault="00084AB2" w:rsidP="00084AB2">
      <w:pPr>
        <w:jc w:val="right"/>
        <w:rPr>
          <w:sz w:val="24"/>
          <w:szCs w:val="24"/>
        </w:rPr>
      </w:pPr>
      <w:r>
        <w:rPr>
          <w:sz w:val="24"/>
          <w:szCs w:val="24"/>
        </w:rPr>
        <w:t>Офіційно опубліковано 02.11.2022</w:t>
      </w:r>
    </w:p>
    <w:p w14:paraId="1CCDD75E" w14:textId="77777777" w:rsidR="00731ACC" w:rsidRDefault="00731ACC">
      <w:pPr>
        <w:rPr>
          <w:sz w:val="2"/>
          <w:szCs w:val="2"/>
        </w:rPr>
      </w:pPr>
    </w:p>
    <w:p w14:paraId="1FCBF137" w14:textId="77777777" w:rsidR="00731ACC" w:rsidRDefault="00731ACC">
      <w:pPr>
        <w:rPr>
          <w:sz w:val="2"/>
          <w:szCs w:val="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731ACC" w14:paraId="5C568B2F" w14:textId="77777777">
        <w:trPr>
          <w:trHeight w:val="851"/>
        </w:trPr>
        <w:tc>
          <w:tcPr>
            <w:tcW w:w="3208" w:type="dxa"/>
          </w:tcPr>
          <w:p w14:paraId="6DF18A11" w14:textId="77777777" w:rsidR="00731ACC" w:rsidRDefault="00731ACC">
            <w:pPr>
              <w:spacing w:after="160" w:line="259" w:lineRule="auto"/>
              <w:jc w:val="left"/>
            </w:pPr>
          </w:p>
        </w:tc>
        <w:tc>
          <w:tcPr>
            <w:tcW w:w="3226" w:type="dxa"/>
            <w:vMerge w:val="restart"/>
          </w:tcPr>
          <w:p w14:paraId="664AAC21" w14:textId="77777777" w:rsidR="00731ACC" w:rsidRDefault="00801D18">
            <w:pPr>
              <w:jc w:val="center"/>
            </w:pPr>
            <w:r>
              <w:object w:dxaOrig="675" w:dyaOrig="960" w14:anchorId="636BFA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8.65pt" o:ole="">
                  <v:imagedata r:id="rId9" o:title=""/>
                </v:shape>
                <o:OLEObject Type="Embed" ProgID="CorelDraw.Graphic.16" ShapeID="_x0000_i1025" DrawAspect="Content" ObjectID="_1728885296" r:id="rId10"/>
              </w:object>
            </w:r>
          </w:p>
        </w:tc>
        <w:tc>
          <w:tcPr>
            <w:tcW w:w="3204" w:type="dxa"/>
          </w:tcPr>
          <w:p w14:paraId="59BA54DD" w14:textId="77777777" w:rsidR="00731ACC" w:rsidRDefault="00731ACC"/>
        </w:tc>
      </w:tr>
      <w:tr w:rsidR="00731ACC" w14:paraId="172F5DBC" w14:textId="77777777">
        <w:tc>
          <w:tcPr>
            <w:tcW w:w="3208" w:type="dxa"/>
          </w:tcPr>
          <w:p w14:paraId="7F266F4C" w14:textId="77777777" w:rsidR="00731ACC" w:rsidRDefault="00731ACC"/>
        </w:tc>
        <w:tc>
          <w:tcPr>
            <w:tcW w:w="3226" w:type="dxa"/>
            <w:vMerge/>
          </w:tcPr>
          <w:p w14:paraId="0088C607" w14:textId="77777777" w:rsidR="00731ACC" w:rsidRDefault="00731ACC"/>
        </w:tc>
        <w:tc>
          <w:tcPr>
            <w:tcW w:w="3204" w:type="dxa"/>
          </w:tcPr>
          <w:p w14:paraId="1A21A122" w14:textId="77777777" w:rsidR="00731ACC" w:rsidRDefault="00731ACC"/>
        </w:tc>
      </w:tr>
      <w:tr w:rsidR="00731ACC" w14:paraId="691F2E87" w14:textId="77777777">
        <w:tc>
          <w:tcPr>
            <w:tcW w:w="9638" w:type="dxa"/>
            <w:gridSpan w:val="3"/>
          </w:tcPr>
          <w:p w14:paraId="0F2BC61C" w14:textId="77777777" w:rsidR="00731ACC" w:rsidRDefault="00801D18">
            <w:pPr>
              <w:tabs>
                <w:tab w:val="left" w:pos="-3600"/>
              </w:tabs>
              <w:spacing w:before="120" w:after="120"/>
              <w:jc w:val="center"/>
              <w:rPr>
                <w:b/>
                <w:bCs/>
                <w:color w:val="006600"/>
                <w:spacing w:val="10"/>
              </w:rPr>
            </w:pPr>
            <w:r>
              <w:rPr>
                <w:b/>
                <w:bCs/>
                <w:color w:val="006600"/>
                <w:spacing w:val="10"/>
              </w:rPr>
              <w:t>Правління Національного банку України</w:t>
            </w:r>
          </w:p>
          <w:p w14:paraId="1D5BE2F9" w14:textId="77777777" w:rsidR="00731ACC" w:rsidRDefault="00801D18">
            <w:pPr>
              <w:jc w:val="center"/>
            </w:pPr>
            <w:r>
              <w:rPr>
                <w:b/>
                <w:bCs/>
                <w:color w:val="006600"/>
                <w:sz w:val="32"/>
                <w:szCs w:val="32"/>
              </w:rPr>
              <w:t>П О С Т А Н О В А</w:t>
            </w:r>
          </w:p>
        </w:tc>
      </w:tr>
    </w:tbl>
    <w:p w14:paraId="6C48DED9" w14:textId="77777777" w:rsidR="00731ACC" w:rsidRDefault="00731ACC">
      <w:pPr>
        <w:rPr>
          <w:sz w:val="4"/>
          <w:szCs w:val="4"/>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2633"/>
        <w:gridCol w:w="1674"/>
        <w:gridCol w:w="1896"/>
      </w:tblGrid>
      <w:tr w:rsidR="00731ACC" w14:paraId="3B169B85" w14:textId="77777777">
        <w:tc>
          <w:tcPr>
            <w:tcW w:w="3510" w:type="dxa"/>
            <w:vAlign w:val="bottom"/>
          </w:tcPr>
          <w:p w14:paraId="429A1F45" w14:textId="423C95E1" w:rsidR="00731ACC" w:rsidRDefault="00302D3C">
            <w:r>
              <w:t>31 жовтня 2022 року</w:t>
            </w:r>
            <w:bookmarkStart w:id="0" w:name="_GoBack"/>
            <w:bookmarkEnd w:id="0"/>
          </w:p>
        </w:tc>
        <w:tc>
          <w:tcPr>
            <w:tcW w:w="2694" w:type="dxa"/>
          </w:tcPr>
          <w:p w14:paraId="2DAE7E66" w14:textId="77777777" w:rsidR="00731ACC" w:rsidRDefault="00801D18">
            <w:pPr>
              <w:spacing w:before="240"/>
              <w:jc w:val="center"/>
            </w:pPr>
            <w:r>
              <w:rPr>
                <w:color w:val="006600"/>
              </w:rPr>
              <w:t>Київ</w:t>
            </w:r>
          </w:p>
        </w:tc>
        <w:tc>
          <w:tcPr>
            <w:tcW w:w="1713" w:type="dxa"/>
            <w:vAlign w:val="bottom"/>
          </w:tcPr>
          <w:p w14:paraId="1A33CADA" w14:textId="77777777" w:rsidR="00731ACC" w:rsidRDefault="00801D18">
            <w:pPr>
              <w:jc w:val="right"/>
            </w:pPr>
            <w:r>
              <w:rPr>
                <w:color w:val="FFFFFF" w:themeColor="background1"/>
              </w:rPr>
              <w:t>№</w:t>
            </w:r>
          </w:p>
        </w:tc>
        <w:tc>
          <w:tcPr>
            <w:tcW w:w="1937" w:type="dxa"/>
            <w:vAlign w:val="bottom"/>
          </w:tcPr>
          <w:p w14:paraId="4FF9BEB9" w14:textId="36B4F421" w:rsidR="00731ACC" w:rsidRPr="00302D3C" w:rsidRDefault="00302D3C">
            <w:pPr>
              <w:jc w:val="left"/>
            </w:pPr>
            <w:r>
              <w:t>№ 225</w:t>
            </w:r>
          </w:p>
        </w:tc>
      </w:tr>
    </w:tbl>
    <w:p w14:paraId="6D590EC3" w14:textId="77777777" w:rsidR="00731ACC" w:rsidRDefault="00731ACC">
      <w:pPr>
        <w:tabs>
          <w:tab w:val="left" w:pos="840"/>
          <w:tab w:val="center" w:pos="3293"/>
        </w:tabs>
        <w:jc w:val="center"/>
      </w:pPr>
    </w:p>
    <w:p w14:paraId="0C9839B1" w14:textId="77777777" w:rsidR="00731ACC" w:rsidRDefault="00801D18">
      <w:pPr>
        <w:tabs>
          <w:tab w:val="left" w:pos="0"/>
          <w:tab w:val="center" w:pos="3293"/>
        </w:tabs>
        <w:jc w:val="center"/>
      </w:pPr>
      <w:r>
        <w:t>Про внесення змін до постанови Правління</w:t>
      </w:r>
    </w:p>
    <w:p w14:paraId="46E9EFAD" w14:textId="77777777" w:rsidR="00731ACC" w:rsidRDefault="00801D18">
      <w:pPr>
        <w:tabs>
          <w:tab w:val="left" w:pos="0"/>
          <w:tab w:val="center" w:pos="3293"/>
        </w:tabs>
        <w:jc w:val="center"/>
      </w:pPr>
      <w:r>
        <w:t>Національного банку України</w:t>
      </w:r>
    </w:p>
    <w:p w14:paraId="179C986A" w14:textId="77777777" w:rsidR="00731ACC" w:rsidRDefault="00801D18">
      <w:pPr>
        <w:tabs>
          <w:tab w:val="left" w:pos="0"/>
        </w:tabs>
        <w:ind w:firstLine="567"/>
      </w:pPr>
      <w:r>
        <w:t xml:space="preserve">                                   від 06 березня 2022 року № 39</w:t>
      </w:r>
    </w:p>
    <w:p w14:paraId="6D8FE8CE" w14:textId="77777777" w:rsidR="00731ACC" w:rsidRDefault="00731ACC">
      <w:pPr>
        <w:ind w:firstLine="567"/>
      </w:pPr>
    </w:p>
    <w:p w14:paraId="44E31FEC" w14:textId="77777777" w:rsidR="00731ACC" w:rsidRDefault="00801D18">
      <w:pPr>
        <w:ind w:firstLine="567"/>
        <w:rPr>
          <w:b/>
          <w:color w:val="000000" w:themeColor="text1"/>
        </w:rPr>
      </w:pPr>
      <w:r>
        <w:t>Відповідно до статей 7, 15, 55</w:t>
      </w:r>
      <w:r>
        <w:rPr>
          <w:vertAlign w:val="superscript"/>
        </w:rPr>
        <w:t>1</w:t>
      </w:r>
      <w:r>
        <w:t xml:space="preserve">, 56 Закону України “Про Національний банк </w:t>
      </w:r>
      <w:r>
        <w:rPr>
          <w:color w:val="000000" w:themeColor="text1"/>
        </w:rPr>
        <w:t xml:space="preserve">України”, статей 19, 21, 28 Закону України “Про фінансові послуги та державне регулювання ринків фінансових послуг”, статей 8, 10 Закону України “Про платіжні послуги”, статті 36 Закону України “Про страхування”, статті 26 Закону України “Про кредитні спілки”, </w:t>
      </w:r>
      <w:r>
        <w:t xml:space="preserve">Указу Президента України від 24 лютого 2022 року № 64/2022 “Про введення воєнного стану в Україні”, </w:t>
      </w:r>
      <w:r>
        <w:rPr>
          <w:lang w:bidi="ar"/>
        </w:rPr>
        <w:t xml:space="preserve">затвердженого Законом України від 24 лютого 2022 року </w:t>
      </w:r>
      <w:hyperlink r:id="rId11" w:tgtFrame="/Users/irynapinchuk012725/Documentsx/_blank" w:history="1">
        <w:r>
          <w:t>№ 2102-IX</w:t>
        </w:r>
      </w:hyperlink>
      <w:r>
        <w:rPr>
          <w:lang w:bidi="ar"/>
        </w:rPr>
        <w:t> «Про затвердження Указу Президента України “Про введення воєнного стану в Україні”»</w:t>
      </w:r>
      <w:r>
        <w:t>,</w:t>
      </w:r>
      <w:r>
        <w:rPr>
          <w:color w:val="000000" w:themeColor="text1"/>
        </w:rPr>
        <w:t xml:space="preserve"> з метою забезпечення безпеки та фінансової стабільності фінансової системи і запобігання кризовим явищам у період запровадження воєнного стану Правління Національного банку України</w:t>
      </w:r>
      <w:r>
        <w:rPr>
          <w:b/>
          <w:color w:val="000000" w:themeColor="text1"/>
        </w:rPr>
        <w:t xml:space="preserve"> постановляє:</w:t>
      </w:r>
    </w:p>
    <w:p w14:paraId="584C6897" w14:textId="77777777" w:rsidR="00731ACC" w:rsidRDefault="00731ACC">
      <w:pPr>
        <w:pBdr>
          <w:top w:val="none" w:sz="0" w:space="0" w:color="000000"/>
          <w:left w:val="none" w:sz="0" w:space="0" w:color="000000"/>
          <w:bottom w:val="none" w:sz="0" w:space="0" w:color="000000"/>
          <w:right w:val="none" w:sz="0" w:space="0" w:color="000000"/>
          <w:between w:val="none" w:sz="0" w:space="0" w:color="000000"/>
        </w:pBdr>
        <w:tabs>
          <w:tab w:val="left" w:pos="993"/>
        </w:tabs>
        <w:ind w:firstLine="567"/>
        <w:rPr>
          <w:color w:val="000000" w:themeColor="text1"/>
        </w:rPr>
      </w:pPr>
    </w:p>
    <w:p w14:paraId="06554A1E" w14:textId="77777777" w:rsidR="00731ACC" w:rsidRDefault="00801D18">
      <w:pPr>
        <w:pBdr>
          <w:top w:val="none" w:sz="0" w:space="0" w:color="000000"/>
          <w:left w:val="none" w:sz="0" w:space="0" w:color="000000"/>
          <w:bottom w:val="none" w:sz="0" w:space="0" w:color="000000"/>
          <w:right w:val="none" w:sz="0" w:space="0" w:color="000000"/>
          <w:between w:val="none" w:sz="0" w:space="0" w:color="000000"/>
        </w:pBdr>
        <w:tabs>
          <w:tab w:val="left" w:pos="993"/>
        </w:tabs>
        <w:ind w:firstLine="567"/>
        <w:rPr>
          <w:color w:val="000000" w:themeColor="text1"/>
        </w:rPr>
      </w:pPr>
      <w:r>
        <w:rPr>
          <w:color w:val="000000" w:themeColor="text1"/>
        </w:rPr>
        <w:t xml:space="preserve">1. </w:t>
      </w:r>
      <w:proofErr w:type="spellStart"/>
      <w:r>
        <w:rPr>
          <w:color w:val="000000" w:themeColor="text1"/>
        </w:rPr>
        <w:t>Унести</w:t>
      </w:r>
      <w:proofErr w:type="spellEnd"/>
      <w:r>
        <w:rPr>
          <w:color w:val="000000" w:themeColor="text1"/>
        </w:rPr>
        <w:t xml:space="preserve"> до постанови Правління Національного банку України від 06 березня 2022 року № 39 “Про врегулювання діяльності учасників ринку небанківських фінансових послуг, небанківських фінансових груп, учасників платіжного ринку, колекторських компаній та юридичних осіб, які отримали ліцензію на надання банкам послуг з інкасації” (зі змінами) такі зміни:</w:t>
      </w:r>
    </w:p>
    <w:p w14:paraId="11090B89" w14:textId="77777777" w:rsidR="00731ACC" w:rsidRDefault="00731ACC">
      <w:pPr>
        <w:ind w:firstLine="567"/>
        <w:rPr>
          <w:color w:val="000000" w:themeColor="text1"/>
        </w:rPr>
      </w:pPr>
    </w:p>
    <w:p w14:paraId="230C47CF" w14:textId="77777777" w:rsidR="00731ACC" w:rsidRDefault="00801D18">
      <w:pPr>
        <w:pStyle w:val="32"/>
        <w:numPr>
          <w:ilvl w:val="0"/>
          <w:numId w:val="1"/>
        </w:numPr>
        <w:tabs>
          <w:tab w:val="left" w:pos="567"/>
        </w:tabs>
        <w:rPr>
          <w:color w:val="000000" w:themeColor="text1"/>
          <w:shd w:val="clear" w:color="auto" w:fill="FFFFFF"/>
        </w:rPr>
      </w:pPr>
      <w:r>
        <w:rPr>
          <w:color w:val="000000" w:themeColor="text1"/>
          <w:shd w:val="clear" w:color="auto" w:fill="FFFFFF"/>
        </w:rPr>
        <w:t>у пункті 1:</w:t>
      </w:r>
    </w:p>
    <w:p w14:paraId="292B9D27" w14:textId="77777777" w:rsidR="00731ACC" w:rsidRPr="00801D18" w:rsidRDefault="00801D18" w:rsidP="00801D18">
      <w:pPr>
        <w:pStyle w:val="32"/>
        <w:tabs>
          <w:tab w:val="left" w:pos="0"/>
        </w:tabs>
        <w:ind w:left="0" w:firstLine="567"/>
        <w:rPr>
          <w:color w:val="000000" w:themeColor="text1"/>
          <w:shd w:val="clear" w:color="auto" w:fill="FFFFFF"/>
          <w:lang w:val="ru-RU"/>
        </w:rPr>
      </w:pPr>
      <w:r>
        <w:rPr>
          <w:color w:val="000000" w:themeColor="text1"/>
          <w:shd w:val="clear" w:color="auto" w:fill="FFFFFF"/>
        </w:rPr>
        <w:t xml:space="preserve">у підпункті 3 слова </w:t>
      </w:r>
      <w:r w:rsidRPr="00801D18">
        <w:rPr>
          <w:color w:val="000000" w:themeColor="text1"/>
          <w:shd w:val="clear" w:color="auto" w:fill="FFFFFF"/>
          <w:lang w:val="ru-RU"/>
        </w:rPr>
        <w:t>“</w:t>
      </w:r>
      <w:r w:rsidR="00551533">
        <w:rPr>
          <w:color w:val="000000" w:themeColor="text1"/>
          <w:shd w:val="clear" w:color="auto" w:fill="FFFFFF"/>
          <w:lang w:val="ru-RU"/>
        </w:rPr>
        <w:t xml:space="preserve">, </w:t>
      </w:r>
      <w:proofErr w:type="spellStart"/>
      <w:r w:rsidRPr="00801D18">
        <w:rPr>
          <w:color w:val="000000" w:themeColor="text1"/>
          <w:shd w:val="clear" w:color="auto" w:fill="FFFFFF"/>
          <w:lang w:val="ru-RU"/>
        </w:rPr>
        <w:t>операторів</w:t>
      </w:r>
      <w:proofErr w:type="spellEnd"/>
      <w:r w:rsidRPr="00801D18">
        <w:rPr>
          <w:color w:val="000000" w:themeColor="text1"/>
          <w:shd w:val="clear" w:color="auto" w:fill="FFFFFF"/>
          <w:lang w:val="ru-RU"/>
        </w:rPr>
        <w:t xml:space="preserve"> </w:t>
      </w:r>
      <w:proofErr w:type="spellStart"/>
      <w:r w:rsidRPr="00801D18">
        <w:rPr>
          <w:color w:val="000000" w:themeColor="text1"/>
          <w:shd w:val="clear" w:color="auto" w:fill="FFFFFF"/>
          <w:lang w:val="ru-RU"/>
        </w:rPr>
        <w:t>послуг</w:t>
      </w:r>
      <w:proofErr w:type="spellEnd"/>
      <w:r w:rsidRPr="00801D18">
        <w:rPr>
          <w:color w:val="000000" w:themeColor="text1"/>
          <w:shd w:val="clear" w:color="auto" w:fill="FFFFFF"/>
          <w:lang w:val="ru-RU"/>
        </w:rPr>
        <w:t xml:space="preserve"> </w:t>
      </w:r>
      <w:proofErr w:type="spellStart"/>
      <w:r w:rsidRPr="00801D18">
        <w:rPr>
          <w:color w:val="000000" w:themeColor="text1"/>
          <w:shd w:val="clear" w:color="auto" w:fill="FFFFFF"/>
          <w:lang w:val="ru-RU"/>
        </w:rPr>
        <w:t>платіжної</w:t>
      </w:r>
      <w:proofErr w:type="spellEnd"/>
      <w:r w:rsidRPr="00801D18">
        <w:rPr>
          <w:color w:val="000000" w:themeColor="text1"/>
          <w:shd w:val="clear" w:color="auto" w:fill="FFFFFF"/>
          <w:lang w:val="ru-RU"/>
        </w:rPr>
        <w:t xml:space="preserve"> </w:t>
      </w:r>
      <w:proofErr w:type="spellStart"/>
      <w:r w:rsidRPr="00801D18">
        <w:rPr>
          <w:color w:val="000000" w:themeColor="text1"/>
          <w:shd w:val="clear" w:color="auto" w:fill="FFFFFF"/>
          <w:lang w:val="ru-RU"/>
        </w:rPr>
        <w:t>інфраструктури</w:t>
      </w:r>
      <w:proofErr w:type="spellEnd"/>
      <w:r w:rsidRPr="00801D18">
        <w:rPr>
          <w:color w:val="000000" w:themeColor="text1"/>
          <w:shd w:val="clear" w:color="auto" w:fill="FFFFFF"/>
          <w:lang w:val="ru-RU"/>
        </w:rPr>
        <w:t xml:space="preserve">” </w:t>
      </w:r>
      <w:r>
        <w:rPr>
          <w:color w:val="000000" w:themeColor="text1"/>
          <w:shd w:val="clear" w:color="auto" w:fill="FFFFFF"/>
        </w:rPr>
        <w:t>виключити</w:t>
      </w:r>
      <w:r w:rsidRPr="00801D18">
        <w:rPr>
          <w:color w:val="000000" w:themeColor="text1"/>
          <w:shd w:val="clear" w:color="auto" w:fill="FFFFFF"/>
          <w:lang w:val="ru-RU"/>
        </w:rPr>
        <w:t>;</w:t>
      </w:r>
    </w:p>
    <w:p w14:paraId="0938A98D" w14:textId="77777777" w:rsidR="00731ACC" w:rsidRDefault="00801D18">
      <w:pPr>
        <w:pStyle w:val="32"/>
        <w:tabs>
          <w:tab w:val="left" w:pos="567"/>
        </w:tabs>
        <w:ind w:left="567"/>
        <w:rPr>
          <w:color w:val="000000" w:themeColor="text1"/>
          <w:shd w:val="clear" w:color="auto" w:fill="FFFFFF"/>
        </w:rPr>
      </w:pPr>
      <w:r>
        <w:rPr>
          <w:color w:val="000000" w:themeColor="text1"/>
          <w:shd w:val="clear" w:color="auto" w:fill="FFFFFF"/>
        </w:rPr>
        <w:t>пункт після підпункту 3 доповнити новим підпунктом 3</w:t>
      </w:r>
      <w:r>
        <w:rPr>
          <w:color w:val="000000" w:themeColor="text1"/>
          <w:shd w:val="clear" w:color="auto" w:fill="FFFFFF"/>
          <w:vertAlign w:val="superscript"/>
        </w:rPr>
        <w:t>1</w:t>
      </w:r>
      <w:r>
        <w:rPr>
          <w:color w:val="000000" w:themeColor="text1"/>
          <w:shd w:val="clear" w:color="auto" w:fill="FFFFFF"/>
        </w:rPr>
        <w:t xml:space="preserve"> такого змісту:</w:t>
      </w:r>
    </w:p>
    <w:p w14:paraId="5DCD4B88" w14:textId="77777777" w:rsidR="00731ACC" w:rsidRDefault="00801D18">
      <w:pPr>
        <w:pStyle w:val="32"/>
        <w:ind w:left="0" w:firstLine="567"/>
        <w:rPr>
          <w:color w:val="000000" w:themeColor="text1"/>
          <w:shd w:val="clear" w:color="auto" w:fill="FFFFFF"/>
        </w:rPr>
      </w:pPr>
      <w:r>
        <w:rPr>
          <w:color w:val="000000" w:themeColor="text1"/>
          <w:shd w:val="clear" w:color="auto" w:fill="FFFFFF"/>
        </w:rPr>
        <w:t>“3</w:t>
      </w:r>
      <w:r>
        <w:rPr>
          <w:color w:val="000000" w:themeColor="text1"/>
          <w:shd w:val="clear" w:color="auto" w:fill="FFFFFF"/>
          <w:vertAlign w:val="superscript"/>
        </w:rPr>
        <w:t>1</w:t>
      </w:r>
      <w:r>
        <w:rPr>
          <w:color w:val="000000" w:themeColor="text1"/>
          <w:shd w:val="clear" w:color="auto" w:fill="FFFFFF"/>
        </w:rPr>
        <w:t>) операторів платіжних систем, технологічних операторів</w:t>
      </w:r>
      <w:r>
        <w:t xml:space="preserve"> </w:t>
      </w:r>
      <w:r>
        <w:rPr>
          <w:color w:val="000000" w:themeColor="text1"/>
          <w:shd w:val="clear" w:color="auto" w:fill="FFFFFF"/>
        </w:rPr>
        <w:t>платіжних послуг;”;</w:t>
      </w:r>
    </w:p>
    <w:p w14:paraId="27D77AEC" w14:textId="4B6D1E6E" w:rsidR="00731ACC" w:rsidRDefault="00801D18">
      <w:pPr>
        <w:pStyle w:val="32"/>
        <w:ind w:left="142" w:firstLine="425"/>
        <w:rPr>
          <w:color w:val="000000" w:themeColor="text1"/>
          <w:shd w:val="clear" w:color="auto" w:fill="FFFFFF"/>
        </w:rPr>
      </w:pPr>
      <w:r>
        <w:rPr>
          <w:color w:val="000000" w:themeColor="text1"/>
          <w:shd w:val="clear" w:color="auto" w:fill="FFFFFF"/>
        </w:rPr>
        <w:t>пункт доповнити двома новими підпунктами  такого змісту:</w:t>
      </w:r>
    </w:p>
    <w:p w14:paraId="10937366" w14:textId="77777777" w:rsidR="00731ACC" w:rsidRDefault="00801D18">
      <w:pPr>
        <w:pStyle w:val="32"/>
        <w:ind w:left="0" w:firstLine="567"/>
        <w:rPr>
          <w:color w:val="000000" w:themeColor="text1"/>
          <w:shd w:val="clear" w:color="auto" w:fill="FFFFFF"/>
        </w:rPr>
      </w:pPr>
      <w:r>
        <w:rPr>
          <w:color w:val="000000" w:themeColor="text1"/>
          <w:shd w:val="clear" w:color="auto" w:fill="FFFFFF"/>
        </w:rPr>
        <w:t>“6) комерційних агентів, залучених для надання фінансових платіжних послуг;</w:t>
      </w:r>
    </w:p>
    <w:p w14:paraId="03BEC45C" w14:textId="77777777" w:rsidR="00731ACC" w:rsidRDefault="00731ACC">
      <w:pPr>
        <w:pStyle w:val="32"/>
        <w:ind w:left="0" w:firstLine="567"/>
        <w:rPr>
          <w:color w:val="000000" w:themeColor="text1"/>
          <w:shd w:val="clear" w:color="auto" w:fill="FFFFFF"/>
        </w:rPr>
      </w:pPr>
    </w:p>
    <w:p w14:paraId="487FA8A8" w14:textId="2961AF03" w:rsidR="00731ACC" w:rsidRDefault="00801D18">
      <w:pPr>
        <w:pStyle w:val="32"/>
        <w:ind w:left="0" w:firstLine="567"/>
        <w:rPr>
          <w:color w:val="000000" w:themeColor="text1"/>
          <w:shd w:val="clear" w:color="auto" w:fill="FFFFFF"/>
        </w:rPr>
      </w:pPr>
      <w:r>
        <w:rPr>
          <w:color w:val="000000" w:themeColor="text1"/>
          <w:shd w:val="clear" w:color="auto" w:fill="FFFFFF"/>
        </w:rPr>
        <w:lastRenderedPageBreak/>
        <w:t xml:space="preserve">7) небанківських надавачів платіжних послуг, визначених Законом України “Про платіжні послуги” (крім надавачів нефінансових платіжних послуг), надавачів обмежених платіжних послуг.”; </w:t>
      </w:r>
    </w:p>
    <w:p w14:paraId="2383C422" w14:textId="04E486B4" w:rsidR="007C558A" w:rsidRDefault="007C558A">
      <w:pPr>
        <w:pStyle w:val="32"/>
        <w:ind w:left="0" w:firstLine="567"/>
        <w:rPr>
          <w:color w:val="000000" w:themeColor="text1"/>
          <w:shd w:val="clear" w:color="auto" w:fill="FFFFFF"/>
        </w:rPr>
      </w:pPr>
    </w:p>
    <w:p w14:paraId="4E104E0E" w14:textId="26AD507F" w:rsidR="007C558A" w:rsidRDefault="007C558A" w:rsidP="00911A9C">
      <w:pPr>
        <w:pStyle w:val="32"/>
        <w:numPr>
          <w:ilvl w:val="0"/>
          <w:numId w:val="1"/>
        </w:numPr>
        <w:rPr>
          <w:color w:val="000000" w:themeColor="text1"/>
          <w:shd w:val="clear" w:color="auto" w:fill="FFFFFF"/>
        </w:rPr>
      </w:pPr>
      <w:r>
        <w:t>постанову після пункту 1 доповнити  новим пунктом 1</w:t>
      </w:r>
      <w:r>
        <w:rPr>
          <w:vertAlign w:val="superscript"/>
        </w:rPr>
        <w:t>1</w:t>
      </w:r>
      <w:r>
        <w:t xml:space="preserve"> такого змісту:</w:t>
      </w:r>
    </w:p>
    <w:p w14:paraId="64760773" w14:textId="74096202" w:rsidR="00731ACC" w:rsidRDefault="007C558A" w:rsidP="007C558A">
      <w:pPr>
        <w:pStyle w:val="32"/>
        <w:tabs>
          <w:tab w:val="left" w:pos="851"/>
        </w:tabs>
        <w:ind w:left="0" w:firstLine="567"/>
        <w:rPr>
          <w:color w:val="000000" w:themeColor="text1"/>
          <w:shd w:val="clear" w:color="auto" w:fill="FFFFFF"/>
          <w:lang w:val="ru-RU"/>
        </w:rPr>
      </w:pPr>
      <w:r>
        <w:rPr>
          <w:iCs/>
        </w:rPr>
        <w:t>“1</w:t>
      </w:r>
      <w:r>
        <w:rPr>
          <w:iCs/>
          <w:vertAlign w:val="superscript"/>
        </w:rPr>
        <w:t>1</w:t>
      </w:r>
      <w:r>
        <w:rPr>
          <w:iCs/>
        </w:rPr>
        <w:t xml:space="preserve">. </w:t>
      </w:r>
      <w:r w:rsidR="00286CE6">
        <w:rPr>
          <w:color w:val="000000" w:themeColor="text1"/>
          <w:shd w:val="clear" w:color="auto" w:fill="FFFFFF"/>
        </w:rPr>
        <w:t xml:space="preserve">Вимоги цієї постанови поширюються на </w:t>
      </w:r>
      <w:r w:rsidR="00286CE6" w:rsidRPr="007C2E98">
        <w:rPr>
          <w:shd w:val="clear" w:color="auto" w:fill="FFFFFF"/>
        </w:rPr>
        <w:t>банки, органи державної влади,</w:t>
      </w:r>
      <w:r w:rsidR="00286CE6" w:rsidRPr="007C2E98">
        <w:t xml:space="preserve"> </w:t>
      </w:r>
      <w:r w:rsidR="00286CE6" w:rsidRPr="007C2E98">
        <w:rPr>
          <w:shd w:val="clear" w:color="auto" w:fill="FFFFFF"/>
        </w:rPr>
        <w:t>органи місцевого самоврядування, які є надавачами платіжних послуг</w:t>
      </w:r>
      <w:r w:rsidR="00286CE6">
        <w:rPr>
          <w:color w:val="000000" w:themeColor="text1"/>
          <w:shd w:val="clear" w:color="auto" w:fill="FFFFFF"/>
        </w:rPr>
        <w:t>, у випадках, визначених цією постановою</w:t>
      </w:r>
      <w:r>
        <w:rPr>
          <w:color w:val="000000" w:themeColor="text1"/>
          <w:shd w:val="clear" w:color="auto" w:fill="FFFFFF"/>
        </w:rPr>
        <w:t>.</w:t>
      </w:r>
      <w:r w:rsidRPr="00911A9C">
        <w:rPr>
          <w:color w:val="000000" w:themeColor="text1"/>
          <w:shd w:val="clear" w:color="auto" w:fill="FFFFFF"/>
          <w:lang w:val="ru-RU"/>
        </w:rPr>
        <w:t>”;</w:t>
      </w:r>
    </w:p>
    <w:p w14:paraId="78039A6E" w14:textId="77777777" w:rsidR="007C558A" w:rsidRPr="007C558A" w:rsidRDefault="007C558A" w:rsidP="007C558A">
      <w:pPr>
        <w:pStyle w:val="32"/>
        <w:tabs>
          <w:tab w:val="left" w:pos="851"/>
        </w:tabs>
        <w:ind w:left="0" w:firstLine="567"/>
        <w:rPr>
          <w:color w:val="000000" w:themeColor="text1"/>
          <w:shd w:val="clear" w:color="auto" w:fill="FFFFFF"/>
        </w:rPr>
      </w:pPr>
    </w:p>
    <w:p w14:paraId="1F08BF7D" w14:textId="1C18EB1C" w:rsidR="00731ACC" w:rsidRDefault="007C558A" w:rsidP="007C558A">
      <w:pPr>
        <w:pStyle w:val="32"/>
        <w:tabs>
          <w:tab w:val="left" w:pos="567"/>
        </w:tabs>
        <w:ind w:left="0" w:firstLine="567"/>
        <w:rPr>
          <w:color w:val="000000" w:themeColor="text1"/>
          <w:shd w:val="clear" w:color="auto" w:fill="FFFFFF"/>
        </w:rPr>
      </w:pPr>
      <w:r>
        <w:rPr>
          <w:color w:val="000000" w:themeColor="text1"/>
          <w:shd w:val="clear" w:color="auto" w:fill="FFFFFF"/>
        </w:rPr>
        <w:t>3</w:t>
      </w:r>
      <w:r w:rsidR="00801D18">
        <w:rPr>
          <w:color w:val="000000" w:themeColor="text1"/>
          <w:shd w:val="clear" w:color="auto" w:fill="FFFFFF"/>
        </w:rPr>
        <w:t xml:space="preserve">) підпункт 4 пункту 2 після слова </w:t>
      </w:r>
      <w:r w:rsidR="00801D18" w:rsidRPr="00801D18">
        <w:rPr>
          <w:color w:val="000000" w:themeColor="text1"/>
          <w:shd w:val="clear" w:color="auto" w:fill="FFFFFF"/>
          <w:lang w:val="ru-RU"/>
        </w:rPr>
        <w:t>“</w:t>
      </w:r>
      <w:proofErr w:type="spellStart"/>
      <w:r w:rsidR="00801D18">
        <w:rPr>
          <w:color w:val="000000" w:themeColor="text1"/>
          <w:shd w:val="clear" w:color="auto" w:fill="FFFFFF"/>
          <w:lang w:val="ru-RU"/>
        </w:rPr>
        <w:t>передбачених</w:t>
      </w:r>
      <w:proofErr w:type="spellEnd"/>
      <w:r w:rsidR="00801D18" w:rsidRPr="00801D18">
        <w:rPr>
          <w:color w:val="000000" w:themeColor="text1"/>
          <w:shd w:val="clear" w:color="auto" w:fill="FFFFFF"/>
          <w:lang w:val="ru-RU"/>
        </w:rPr>
        <w:t>”</w:t>
      </w:r>
      <w:r w:rsidR="00801D18">
        <w:rPr>
          <w:color w:val="000000" w:themeColor="text1"/>
          <w:shd w:val="clear" w:color="auto" w:fill="FFFFFF"/>
          <w:lang w:val="ru-RU"/>
        </w:rPr>
        <w:t xml:space="preserve"> </w:t>
      </w:r>
      <w:proofErr w:type="spellStart"/>
      <w:r w:rsidR="00801D18">
        <w:rPr>
          <w:color w:val="000000" w:themeColor="text1"/>
          <w:shd w:val="clear" w:color="auto" w:fill="FFFFFF"/>
          <w:lang w:val="ru-RU"/>
        </w:rPr>
        <w:t>доповнити</w:t>
      </w:r>
      <w:proofErr w:type="spellEnd"/>
      <w:r w:rsidR="00801D18">
        <w:rPr>
          <w:color w:val="000000" w:themeColor="text1"/>
          <w:shd w:val="clear" w:color="auto" w:fill="FFFFFF"/>
          <w:lang w:val="ru-RU"/>
        </w:rPr>
        <w:t xml:space="preserve"> словами та цифрами </w:t>
      </w:r>
      <w:r w:rsidR="00801D18" w:rsidRPr="00801D18">
        <w:rPr>
          <w:color w:val="000000" w:themeColor="text1"/>
          <w:shd w:val="clear" w:color="auto" w:fill="FFFFFF"/>
          <w:lang w:val="ru-RU"/>
        </w:rPr>
        <w:t>“</w:t>
      </w:r>
      <w:r w:rsidR="00801D18">
        <w:t>постановою Правління Національного банку України від 24 грудня 2021 року № 153 “Про затвердження Положення про ліцензування та реєстрацію надавачів фінансових послуг та умови провадження ними діяльності з надання фінансових послуг” (зі змінами) (далі – Постанова № 153), постановою Правління Національного банку України від 12 серпня 2022 року № 177 “Про особливості застосування процедур реєстрації та ліцензування учасників ринку небанківських фінансових послуг у період дії воєнного стану та внесення змін до постанови Правління Національного банку України від 06 березня 2022 року №</w:t>
      </w:r>
      <w:r w:rsidR="001C44F1">
        <w:rPr>
          <w:lang w:val="en-US"/>
        </w:rPr>
        <w:t> </w:t>
      </w:r>
      <w:r w:rsidR="00801D18">
        <w:t>39” (далі – Постанова № 177),</w:t>
      </w:r>
      <w:r w:rsidR="00801D18" w:rsidRPr="00801D18">
        <w:rPr>
          <w:color w:val="000000" w:themeColor="text1"/>
          <w:shd w:val="clear" w:color="auto" w:fill="FFFFFF"/>
        </w:rPr>
        <w:t>”</w:t>
      </w:r>
      <w:r w:rsidR="00801D18">
        <w:rPr>
          <w:color w:val="000000" w:themeColor="text1"/>
          <w:shd w:val="clear" w:color="auto" w:fill="FFFFFF"/>
        </w:rPr>
        <w:t>;</w:t>
      </w:r>
    </w:p>
    <w:p w14:paraId="2DA6E9CA" w14:textId="77777777" w:rsidR="00731ACC" w:rsidRDefault="00731ACC">
      <w:pPr>
        <w:pStyle w:val="32"/>
        <w:tabs>
          <w:tab w:val="left" w:pos="567"/>
        </w:tabs>
        <w:ind w:left="567"/>
        <w:rPr>
          <w:color w:val="000000" w:themeColor="text1"/>
          <w:shd w:val="clear" w:color="auto" w:fill="FFFFFF"/>
        </w:rPr>
      </w:pPr>
    </w:p>
    <w:p w14:paraId="7763B9E1" w14:textId="03004207" w:rsidR="00731ACC" w:rsidRDefault="007C558A">
      <w:pPr>
        <w:pStyle w:val="32"/>
        <w:tabs>
          <w:tab w:val="left" w:pos="567"/>
        </w:tabs>
        <w:ind w:left="0" w:firstLine="567"/>
        <w:rPr>
          <w:color w:val="000000" w:themeColor="text1"/>
          <w:shd w:val="clear" w:color="auto" w:fill="FFFFFF"/>
        </w:rPr>
      </w:pPr>
      <w:r>
        <w:rPr>
          <w:color w:val="000000" w:themeColor="text1"/>
          <w:shd w:val="clear" w:color="auto" w:fill="FFFFFF"/>
        </w:rPr>
        <w:t>4</w:t>
      </w:r>
      <w:r w:rsidR="00801D18">
        <w:rPr>
          <w:color w:val="000000" w:themeColor="text1"/>
          <w:shd w:val="clear" w:color="auto" w:fill="FFFFFF"/>
        </w:rPr>
        <w:t xml:space="preserve">) у пункті </w:t>
      </w:r>
      <w:r w:rsidR="00801D18">
        <w:rPr>
          <w:color w:val="000000" w:themeColor="text1"/>
        </w:rPr>
        <w:t xml:space="preserve">18: </w:t>
      </w:r>
    </w:p>
    <w:p w14:paraId="47DEE23A" w14:textId="77777777" w:rsidR="00731ACC" w:rsidRDefault="00801D18">
      <w:pPr>
        <w:pStyle w:val="32"/>
        <w:ind w:left="0" w:firstLine="567"/>
        <w:rPr>
          <w:color w:val="000000" w:themeColor="text1"/>
        </w:rPr>
      </w:pPr>
      <w:r>
        <w:rPr>
          <w:color w:val="000000" w:themeColor="text1"/>
        </w:rPr>
        <w:t xml:space="preserve">у підпункті 2 слова та цифри </w:t>
      </w:r>
      <w:r w:rsidRPr="00801D18">
        <w:rPr>
          <w:color w:val="000000" w:themeColor="text1"/>
          <w:lang w:val="ru-RU"/>
        </w:rPr>
        <w:t>“</w:t>
      </w:r>
      <w:proofErr w:type="spellStart"/>
      <w:r>
        <w:rPr>
          <w:color w:val="000000" w:themeColor="text1"/>
          <w:lang w:val="ru-RU"/>
        </w:rPr>
        <w:t>передбачених</w:t>
      </w:r>
      <w:proofErr w:type="spellEnd"/>
      <w:r>
        <w:rPr>
          <w:color w:val="000000" w:themeColor="text1"/>
          <w:lang w:val="ru-RU"/>
        </w:rPr>
        <w:t xml:space="preserve"> у </w:t>
      </w:r>
      <w:proofErr w:type="spellStart"/>
      <w:r>
        <w:rPr>
          <w:color w:val="000000" w:themeColor="text1"/>
          <w:lang w:val="ru-RU"/>
        </w:rPr>
        <w:t>пункті</w:t>
      </w:r>
      <w:proofErr w:type="spellEnd"/>
      <w:r>
        <w:rPr>
          <w:color w:val="000000" w:themeColor="text1"/>
          <w:lang w:val="ru-RU"/>
        </w:rPr>
        <w:t xml:space="preserve"> </w:t>
      </w:r>
      <w:r>
        <w:rPr>
          <w:color w:val="000000" w:themeColor="text1"/>
        </w:rPr>
        <w:t>18</w:t>
      </w:r>
      <w:r>
        <w:rPr>
          <w:color w:val="000000" w:themeColor="text1"/>
          <w:vertAlign w:val="superscript"/>
        </w:rPr>
        <w:t>3</w:t>
      </w:r>
      <w:r w:rsidRPr="00801D18">
        <w:rPr>
          <w:color w:val="000000" w:themeColor="text1"/>
          <w:lang w:val="ru-RU"/>
        </w:rPr>
        <w:t>”</w:t>
      </w:r>
      <w:r>
        <w:rPr>
          <w:color w:val="000000" w:themeColor="text1"/>
          <w:lang w:val="ru-RU"/>
        </w:rPr>
        <w:t xml:space="preserve"> </w:t>
      </w:r>
      <w:proofErr w:type="spellStart"/>
      <w:r>
        <w:rPr>
          <w:color w:val="000000" w:themeColor="text1"/>
          <w:lang w:val="ru-RU"/>
        </w:rPr>
        <w:t>замінити</w:t>
      </w:r>
      <w:proofErr w:type="spellEnd"/>
      <w:r>
        <w:rPr>
          <w:color w:val="000000" w:themeColor="text1"/>
          <w:lang w:val="ru-RU"/>
        </w:rPr>
        <w:t xml:space="preserve"> словами та цифрами </w:t>
      </w:r>
      <w:r w:rsidRPr="00801D18">
        <w:rPr>
          <w:color w:val="000000" w:themeColor="text1"/>
          <w:lang w:val="ru-RU"/>
        </w:rPr>
        <w:t>“</w:t>
      </w:r>
      <w:proofErr w:type="spellStart"/>
      <w:r>
        <w:rPr>
          <w:color w:val="000000" w:themeColor="text1"/>
          <w:lang w:val="ru-RU"/>
        </w:rPr>
        <w:t>передбаченого</w:t>
      </w:r>
      <w:proofErr w:type="spellEnd"/>
      <w:r>
        <w:rPr>
          <w:color w:val="000000" w:themeColor="text1"/>
          <w:lang w:val="ru-RU"/>
        </w:rPr>
        <w:t xml:space="preserve"> </w:t>
      </w:r>
      <w:r w:rsidR="008C0F26">
        <w:rPr>
          <w:color w:val="000000" w:themeColor="text1"/>
          <w:lang w:val="ru-RU"/>
        </w:rPr>
        <w:t>в</w:t>
      </w:r>
      <w:r>
        <w:rPr>
          <w:color w:val="000000" w:themeColor="text1"/>
          <w:lang w:val="ru-RU"/>
        </w:rPr>
        <w:t xml:space="preserve"> пунктах </w:t>
      </w:r>
      <w:r>
        <w:rPr>
          <w:color w:val="000000" w:themeColor="text1"/>
        </w:rPr>
        <w:t>18</w:t>
      </w:r>
      <w:r>
        <w:rPr>
          <w:color w:val="000000" w:themeColor="text1"/>
          <w:vertAlign w:val="superscript"/>
        </w:rPr>
        <w:t xml:space="preserve">3 </w:t>
      </w:r>
      <w:r>
        <w:rPr>
          <w:color w:val="000000" w:themeColor="text1"/>
        </w:rPr>
        <w:t>, 18</w:t>
      </w:r>
      <w:r>
        <w:rPr>
          <w:color w:val="000000" w:themeColor="text1"/>
          <w:vertAlign w:val="superscript"/>
        </w:rPr>
        <w:t>10</w:t>
      </w:r>
      <w:r>
        <w:rPr>
          <w:color w:val="000000" w:themeColor="text1"/>
        </w:rPr>
        <w:t>, 18</w:t>
      </w:r>
      <w:r>
        <w:rPr>
          <w:color w:val="000000" w:themeColor="text1"/>
          <w:vertAlign w:val="superscript"/>
        </w:rPr>
        <w:t>11</w:t>
      </w:r>
      <w:r w:rsidRPr="00801D18">
        <w:rPr>
          <w:color w:val="000000" w:themeColor="text1"/>
          <w:lang w:val="ru-RU"/>
        </w:rPr>
        <w:t>”</w:t>
      </w:r>
      <w:r>
        <w:rPr>
          <w:color w:val="000000" w:themeColor="text1"/>
        </w:rPr>
        <w:t xml:space="preserve">; </w:t>
      </w:r>
    </w:p>
    <w:p w14:paraId="4C999DB7" w14:textId="77777777" w:rsidR="00731ACC" w:rsidRDefault="00801D18">
      <w:pPr>
        <w:pStyle w:val="32"/>
        <w:tabs>
          <w:tab w:val="left" w:pos="567"/>
        </w:tabs>
        <w:ind w:left="567"/>
        <w:rPr>
          <w:color w:val="000000" w:themeColor="text1"/>
          <w:shd w:val="clear" w:color="auto" w:fill="FFFFFF"/>
        </w:rPr>
      </w:pPr>
      <w:r>
        <w:rPr>
          <w:color w:val="000000" w:themeColor="text1"/>
        </w:rPr>
        <w:t>пункт доповнити  трьома новими підпунктами  такого змісту</w:t>
      </w:r>
      <w:r>
        <w:rPr>
          <w:color w:val="000000" w:themeColor="text1"/>
          <w:shd w:val="clear" w:color="auto" w:fill="FFFFFF"/>
        </w:rPr>
        <w:t>:</w:t>
      </w:r>
    </w:p>
    <w:p w14:paraId="3C445CBB" w14:textId="77777777" w:rsidR="00731ACC" w:rsidRDefault="00801D18">
      <w:pPr>
        <w:ind w:firstLine="567"/>
        <w:rPr>
          <w:color w:val="000000" w:themeColor="text1"/>
        </w:rPr>
      </w:pPr>
      <w:r>
        <w:rPr>
          <w:color w:val="000000" w:themeColor="text1"/>
        </w:rPr>
        <w:t>“11) об’єднана кредитна спілка/страховик на період воєнного стану в Україні та протягом трьох місяців після його припинення чи скасування має право покладати на особу або різних осіб виконання обов’язків керівника, головного бухгалтера об’єднаної кредитної спілки/страховика, які були призвані або прийняті на військову службу до Збройних Сил України, інших утворених відповідно до законів України військових формувань, Служби безпеки України або органів і підрозділів цивільного захисту та територіальної оборони, без урахування вимог пункту 448 глави 54 розділу IX Положення про ліцензування та реєстрацію;</w:t>
      </w:r>
    </w:p>
    <w:p w14:paraId="25A65750" w14:textId="77777777" w:rsidR="00731ACC" w:rsidRDefault="00731ACC">
      <w:pPr>
        <w:ind w:firstLine="567"/>
        <w:rPr>
          <w:color w:val="000000" w:themeColor="text1"/>
        </w:rPr>
      </w:pPr>
    </w:p>
    <w:p w14:paraId="4F9194E1" w14:textId="77777777" w:rsidR="00E13C58" w:rsidRDefault="00801D18">
      <w:pPr>
        <w:ind w:firstLine="567"/>
        <w:rPr>
          <w:color w:val="000000" w:themeColor="text1"/>
        </w:rPr>
      </w:pPr>
      <w:r>
        <w:rPr>
          <w:color w:val="000000" w:themeColor="text1"/>
        </w:rPr>
        <w:t>12) Національний банк не застосовує ознаку небездоганної ділової репутації, визначену в підпункті 2 пункту 225 глави 25 розділу IV Положення про ліцензування та реєстрацію, до фізичної особи, яка під час дії воєнного стану в Україні</w:t>
      </w:r>
      <w:r w:rsidR="00E13C58" w:rsidRPr="00286CE6">
        <w:rPr>
          <w:color w:val="000000" w:themeColor="text1"/>
        </w:rPr>
        <w:t>:</w:t>
      </w:r>
      <w:r>
        <w:rPr>
          <w:color w:val="000000" w:themeColor="text1"/>
        </w:rPr>
        <w:t xml:space="preserve"> </w:t>
      </w:r>
    </w:p>
    <w:p w14:paraId="5EDCF7D2" w14:textId="3BF1CA81" w:rsidR="00E13C58" w:rsidRDefault="00801D18">
      <w:pPr>
        <w:ind w:firstLine="567"/>
        <w:rPr>
          <w:color w:val="000000" w:themeColor="text1"/>
        </w:rPr>
      </w:pPr>
      <w:r>
        <w:rPr>
          <w:color w:val="000000" w:themeColor="text1"/>
        </w:rPr>
        <w:t xml:space="preserve">та протягом трьох місяців після його припинення чи скасування виконує/виконувала обов’язки керівника, головного бухгалтера фінансової установи або керівника підрозділу внутрішнього аудиту фінансової установи, які були призвані або прийняті на військову службу до Збройних Сил України, </w:t>
      </w:r>
      <w:r>
        <w:rPr>
          <w:color w:val="000000" w:themeColor="text1"/>
        </w:rPr>
        <w:lastRenderedPageBreak/>
        <w:t>інших утворених відповідно до законів України військових формувань, Служби безпеки України або органів і підрозділів цивільного захисту та  територіальної оборони</w:t>
      </w:r>
      <w:r w:rsidR="00E13C58" w:rsidRPr="00286CE6">
        <w:rPr>
          <w:color w:val="000000" w:themeColor="text1"/>
        </w:rPr>
        <w:t xml:space="preserve"> </w:t>
      </w:r>
      <w:r w:rsidR="00E13C58">
        <w:rPr>
          <w:color w:val="000000" w:themeColor="text1"/>
        </w:rPr>
        <w:t>або</w:t>
      </w:r>
    </w:p>
    <w:p w14:paraId="797068AF" w14:textId="45F2870A" w:rsidR="00731ACC" w:rsidRDefault="00E13C58">
      <w:pPr>
        <w:ind w:firstLine="567"/>
        <w:rPr>
          <w:color w:val="000000" w:themeColor="text1"/>
        </w:rPr>
      </w:pPr>
      <w:r w:rsidRPr="00AF6B81">
        <w:rPr>
          <w:color w:val="000000" w:themeColor="text1"/>
        </w:rPr>
        <w:t>займає/займала посаду</w:t>
      </w:r>
      <w:r w:rsidR="00E47374">
        <w:rPr>
          <w:color w:val="000000" w:themeColor="text1"/>
        </w:rPr>
        <w:t>,</w:t>
      </w:r>
      <w:r w:rsidRPr="00AF6B81">
        <w:rPr>
          <w:color w:val="000000" w:themeColor="text1"/>
        </w:rPr>
        <w:t xml:space="preserve"> або виконувала обов’язки за посадою керівника, головного бухгалтера фінансової установи та якій нормативно-правовими актами Національного банку було надано право подати до Національного банку документи щодо погодження на таку посаду після припинення</w:t>
      </w:r>
      <w:r>
        <w:rPr>
          <w:color w:val="000000" w:themeColor="text1"/>
        </w:rPr>
        <w:t xml:space="preserve"> або скасування воєнного стану в Україні </w:t>
      </w:r>
      <w:r w:rsidRPr="00AF6B81">
        <w:rPr>
          <w:color w:val="000000" w:themeColor="text1"/>
        </w:rPr>
        <w:t xml:space="preserve">або </w:t>
      </w:r>
      <w:r>
        <w:rPr>
          <w:color w:val="000000" w:themeColor="text1"/>
        </w:rPr>
        <w:t xml:space="preserve">в </w:t>
      </w:r>
      <w:r w:rsidRPr="00AF6B81">
        <w:rPr>
          <w:color w:val="000000" w:themeColor="text1"/>
        </w:rPr>
        <w:t>інший строк,</w:t>
      </w:r>
      <w:r>
        <w:rPr>
          <w:color w:val="000000" w:themeColor="text1"/>
        </w:rPr>
        <w:t xml:space="preserve"> ніж той, що передбачений </w:t>
      </w:r>
      <w:r w:rsidRPr="00AF6B81">
        <w:rPr>
          <w:color w:val="000000" w:themeColor="text1"/>
        </w:rPr>
        <w:t>Положення</w:t>
      </w:r>
      <w:r>
        <w:rPr>
          <w:color w:val="000000" w:themeColor="text1"/>
        </w:rPr>
        <w:t>м</w:t>
      </w:r>
      <w:r w:rsidRPr="00AF6B81">
        <w:rPr>
          <w:color w:val="000000" w:themeColor="text1"/>
        </w:rPr>
        <w:t xml:space="preserve"> про ліцензування та реєстрацію</w:t>
      </w:r>
      <w:r w:rsidR="00E47374">
        <w:rPr>
          <w:color w:val="000000" w:themeColor="text1"/>
        </w:rPr>
        <w:t>;</w:t>
      </w:r>
      <w:r w:rsidR="00801D18">
        <w:rPr>
          <w:color w:val="000000" w:themeColor="text1"/>
        </w:rPr>
        <w:t xml:space="preserve"> </w:t>
      </w:r>
    </w:p>
    <w:p w14:paraId="686CEC7F" w14:textId="77777777" w:rsidR="00731ACC" w:rsidRDefault="00731ACC">
      <w:pPr>
        <w:ind w:firstLine="567"/>
        <w:rPr>
          <w:color w:val="000000" w:themeColor="text1"/>
        </w:rPr>
      </w:pPr>
    </w:p>
    <w:p w14:paraId="35B9A5C5" w14:textId="0083680F" w:rsidR="00731ACC" w:rsidRDefault="00801D18">
      <w:pPr>
        <w:ind w:firstLine="567"/>
        <w:rPr>
          <w:color w:val="000000" w:themeColor="text1"/>
        </w:rPr>
      </w:pPr>
      <w:r>
        <w:rPr>
          <w:color w:val="000000" w:themeColor="text1"/>
        </w:rPr>
        <w:t xml:space="preserve">13) Національний банк не застосовує до особи ознаку небездоганної ділової репутації, визначену в підпункті 3 пункту 229 глави 26 розділу IV Положення про ліцензування та реєстрацію, пов’язану з порушенням (невиконанням або неналежним виконанням) особою зобов’язань фінансового характеру у зв’язку з дією обмежень на здійснення транскордонних переказів валютних цінностей з України, </w:t>
      </w:r>
      <w:r w:rsidR="008F5F80">
        <w:rPr>
          <w:color w:val="000000" w:themeColor="text1"/>
        </w:rPr>
        <w:t xml:space="preserve">установлених </w:t>
      </w:r>
      <w:r>
        <w:rPr>
          <w:color w:val="000000" w:themeColor="text1"/>
        </w:rPr>
        <w:t>у пункті 14 постанови Правління Національного банку України від 24 лютого 2022  року № 18 “Про роботу банківської системи в період запровадження воєнного стану”(зі змінами)</w:t>
      </w:r>
      <w:r w:rsidR="00674A3D">
        <w:rPr>
          <w:color w:val="000000" w:themeColor="text1"/>
        </w:rPr>
        <w:t>.</w:t>
      </w:r>
      <w:r w:rsidRPr="00801D18">
        <w:rPr>
          <w:color w:val="000000" w:themeColor="text1"/>
        </w:rPr>
        <w:t>”</w:t>
      </w:r>
      <w:r>
        <w:rPr>
          <w:color w:val="000000" w:themeColor="text1"/>
        </w:rPr>
        <w:t>;</w:t>
      </w:r>
    </w:p>
    <w:p w14:paraId="2E19440B" w14:textId="77777777" w:rsidR="00731ACC" w:rsidRDefault="00731ACC">
      <w:pPr>
        <w:rPr>
          <w:color w:val="000000" w:themeColor="text1"/>
        </w:rPr>
      </w:pPr>
    </w:p>
    <w:p w14:paraId="1A542CCB" w14:textId="043362C1" w:rsidR="00731ACC" w:rsidRDefault="007C558A">
      <w:pPr>
        <w:pStyle w:val="16"/>
        <w:pBdr>
          <w:top w:val="none" w:sz="0" w:space="0" w:color="000000"/>
          <w:left w:val="none" w:sz="0" w:space="0" w:color="000000"/>
          <w:bottom w:val="none" w:sz="0" w:space="0" w:color="000000"/>
          <w:right w:val="none" w:sz="0" w:space="0" w:color="000000"/>
        </w:pBdr>
        <w:ind w:left="0" w:firstLine="567"/>
      </w:pPr>
      <w:r>
        <w:t>5</w:t>
      </w:r>
      <w:r w:rsidR="00801D18">
        <w:t>) у пункті 18</w:t>
      </w:r>
      <w:r w:rsidR="00801D18">
        <w:rPr>
          <w:vertAlign w:val="superscript"/>
        </w:rPr>
        <w:t>1</w:t>
      </w:r>
      <w:r w:rsidR="00801D18">
        <w:t xml:space="preserve"> слово “Реєстру” замінити словами “Державного реєстру фінансових установ (далі </w:t>
      </w:r>
      <w:r w:rsidR="008F5F80">
        <w:t>‒</w:t>
      </w:r>
      <w:r w:rsidR="00801D18">
        <w:t xml:space="preserve"> Реєстр)”;</w:t>
      </w:r>
    </w:p>
    <w:p w14:paraId="2A473693" w14:textId="77777777" w:rsidR="00731ACC" w:rsidRDefault="00731ACC">
      <w:pPr>
        <w:pStyle w:val="16"/>
        <w:pBdr>
          <w:top w:val="none" w:sz="0" w:space="0" w:color="000000"/>
          <w:left w:val="none" w:sz="0" w:space="0" w:color="000000"/>
          <w:bottom w:val="none" w:sz="0" w:space="0" w:color="000000"/>
          <w:right w:val="none" w:sz="0" w:space="0" w:color="000000"/>
        </w:pBdr>
        <w:ind w:left="0" w:firstLine="567"/>
      </w:pPr>
    </w:p>
    <w:p w14:paraId="2DADFBB9" w14:textId="37080FA7" w:rsidR="00E1092D" w:rsidRDefault="007C558A">
      <w:pPr>
        <w:pStyle w:val="16"/>
        <w:pBdr>
          <w:top w:val="none" w:sz="0" w:space="0" w:color="000000"/>
          <w:left w:val="none" w:sz="0" w:space="0" w:color="000000"/>
          <w:bottom w:val="none" w:sz="0" w:space="0" w:color="000000"/>
          <w:right w:val="none" w:sz="0" w:space="0" w:color="000000"/>
        </w:pBdr>
        <w:ind w:left="0" w:firstLine="567"/>
      </w:pPr>
      <w:r>
        <w:t>6</w:t>
      </w:r>
      <w:r w:rsidR="00801D18">
        <w:t>) у підпункті 4 пункту 18</w:t>
      </w:r>
      <w:r w:rsidR="00801D18">
        <w:rPr>
          <w:vertAlign w:val="superscript"/>
        </w:rPr>
        <w:t>6</w:t>
      </w:r>
      <w:r w:rsidR="00DB41EC">
        <w:rPr>
          <w:vertAlign w:val="superscript"/>
        </w:rPr>
        <w:t xml:space="preserve"> </w:t>
      </w:r>
      <w:r w:rsidR="00801D18">
        <w:t>слов</w:t>
      </w:r>
      <w:r w:rsidR="00DB41EC">
        <w:t>а</w:t>
      </w:r>
      <w:r w:rsidR="00801D18">
        <w:t xml:space="preserve"> та цифру “підпункті 1”</w:t>
      </w:r>
      <w:r w:rsidR="00DB41EC">
        <w:t xml:space="preserve">, </w:t>
      </w:r>
      <w:r w:rsidR="00DB41EC" w:rsidRPr="00E1092D">
        <w:rPr>
          <w:lang w:val="ru-RU"/>
        </w:rPr>
        <w:t>“</w:t>
      </w:r>
      <w:r w:rsidR="00DB41EC">
        <w:t>Державного реєстру фінансових установ</w:t>
      </w:r>
      <w:r w:rsidR="00DB41EC" w:rsidRPr="00E1092D">
        <w:rPr>
          <w:lang w:val="ru-RU"/>
        </w:rPr>
        <w:t>”</w:t>
      </w:r>
      <w:r w:rsidR="00DB41EC">
        <w:t xml:space="preserve"> </w:t>
      </w:r>
      <w:r w:rsidR="00801D18">
        <w:t xml:space="preserve">замінити </w:t>
      </w:r>
      <w:r w:rsidR="006D6301">
        <w:t xml:space="preserve">відповідно </w:t>
      </w:r>
      <w:r w:rsidR="00801D18">
        <w:t>слов</w:t>
      </w:r>
      <w:r w:rsidR="006D6301">
        <w:t>ами</w:t>
      </w:r>
      <w:r w:rsidR="0014265E">
        <w:t xml:space="preserve"> та</w:t>
      </w:r>
      <w:r w:rsidR="00801D18">
        <w:t xml:space="preserve"> цифрою “підпункті 3”</w:t>
      </w:r>
      <w:r w:rsidR="006D6301">
        <w:t xml:space="preserve">, </w:t>
      </w:r>
      <w:r w:rsidR="006D6301" w:rsidRPr="00E1092D">
        <w:rPr>
          <w:lang w:val="ru-RU"/>
        </w:rPr>
        <w:t>“</w:t>
      </w:r>
      <w:r w:rsidR="006D6301">
        <w:t>Реєстру</w:t>
      </w:r>
      <w:r w:rsidR="006D6301" w:rsidRPr="00E1092D">
        <w:rPr>
          <w:lang w:val="ru-RU"/>
        </w:rPr>
        <w:t>”</w:t>
      </w:r>
      <w:r w:rsidR="00E1092D" w:rsidRPr="00E13C58">
        <w:rPr>
          <w:lang w:val="ru-RU"/>
        </w:rPr>
        <w:t>;</w:t>
      </w:r>
      <w:r w:rsidR="00CF5F9E">
        <w:t xml:space="preserve"> </w:t>
      </w:r>
    </w:p>
    <w:p w14:paraId="0F4888EB" w14:textId="77777777" w:rsidR="00731ACC" w:rsidRDefault="00731ACC">
      <w:pPr>
        <w:pStyle w:val="16"/>
        <w:pBdr>
          <w:top w:val="none" w:sz="0" w:space="0" w:color="000000"/>
          <w:left w:val="none" w:sz="0" w:space="0" w:color="000000"/>
          <w:bottom w:val="none" w:sz="0" w:space="0" w:color="000000"/>
          <w:right w:val="none" w:sz="0" w:space="0" w:color="000000"/>
        </w:pBdr>
        <w:ind w:left="0" w:firstLine="567"/>
      </w:pPr>
    </w:p>
    <w:p w14:paraId="6CB9699F" w14:textId="7E4F4164" w:rsidR="00731ACC" w:rsidRDefault="007C558A">
      <w:pPr>
        <w:pStyle w:val="16"/>
        <w:pBdr>
          <w:top w:val="none" w:sz="0" w:space="0" w:color="000000"/>
          <w:left w:val="none" w:sz="0" w:space="0" w:color="000000"/>
          <w:bottom w:val="none" w:sz="0" w:space="0" w:color="000000"/>
          <w:right w:val="none" w:sz="0" w:space="0" w:color="000000"/>
        </w:pBdr>
        <w:ind w:left="0" w:firstLine="567"/>
        <w:rPr>
          <w:color w:val="000000" w:themeColor="text1"/>
        </w:rPr>
      </w:pPr>
      <w:r>
        <w:t>7</w:t>
      </w:r>
      <w:r w:rsidR="00801D18">
        <w:t>) постанову після пункту 18</w:t>
      </w:r>
      <w:r w:rsidR="00801D18">
        <w:rPr>
          <w:vertAlign w:val="superscript"/>
        </w:rPr>
        <w:t>8</w:t>
      </w:r>
      <w:r w:rsidR="00801D18">
        <w:t xml:space="preserve"> доповнити дев’ятьма  новими пунктами 18</w:t>
      </w:r>
      <w:r w:rsidR="00801D18">
        <w:rPr>
          <w:vertAlign w:val="superscript"/>
        </w:rPr>
        <w:t>9</w:t>
      </w:r>
      <w:r w:rsidR="008F5F80" w:rsidRPr="00E13C58">
        <w:t>‒</w:t>
      </w:r>
      <w:r w:rsidR="00801D18">
        <w:t>18</w:t>
      </w:r>
      <w:r w:rsidR="00801D18">
        <w:rPr>
          <w:vertAlign w:val="superscript"/>
        </w:rPr>
        <w:t>17</w:t>
      </w:r>
      <w:r w:rsidR="00801D18">
        <w:t xml:space="preserve"> такого змісту:</w:t>
      </w:r>
    </w:p>
    <w:p w14:paraId="2015F931" w14:textId="6B5B2E8E" w:rsidR="00731ACC" w:rsidRDefault="00801D18">
      <w:pPr>
        <w:ind w:firstLine="567"/>
        <w:rPr>
          <w:iCs/>
        </w:rPr>
      </w:pPr>
      <w:r>
        <w:rPr>
          <w:iCs/>
        </w:rPr>
        <w:t>“18</w:t>
      </w:r>
      <w:r>
        <w:rPr>
          <w:iCs/>
          <w:vertAlign w:val="superscript"/>
        </w:rPr>
        <w:t>9</w:t>
      </w:r>
      <w:r>
        <w:rPr>
          <w:iCs/>
        </w:rPr>
        <w:t xml:space="preserve">. </w:t>
      </w:r>
      <w:r>
        <w:t xml:space="preserve">Страховик під час дії воєнного стану в Україні має право скористатися особливим порядком відкликання (анулювання) ліцензії (ліцензій) на здійснення страхової діяльності та виключення відомостей про страховика з Реєстру, передбаченим </w:t>
      </w:r>
      <w:r w:rsidR="00406F18">
        <w:t xml:space="preserve">у </w:t>
      </w:r>
      <w:r>
        <w:t>пункта</w:t>
      </w:r>
      <w:r w:rsidR="00406F18">
        <w:t>х</w:t>
      </w:r>
      <w:r>
        <w:t xml:space="preserve"> 18</w:t>
      </w:r>
      <w:r>
        <w:rPr>
          <w:vertAlign w:val="superscript"/>
        </w:rPr>
        <w:t>10</w:t>
      </w:r>
      <w:r>
        <w:t>–18</w:t>
      </w:r>
      <w:r>
        <w:rPr>
          <w:vertAlign w:val="superscript"/>
        </w:rPr>
        <w:t>17</w:t>
      </w:r>
      <w:r>
        <w:t xml:space="preserve"> цієї постанови.</w:t>
      </w:r>
    </w:p>
    <w:p w14:paraId="06058D2B" w14:textId="77777777" w:rsidR="00731ACC" w:rsidRDefault="00731ACC">
      <w:pPr>
        <w:ind w:firstLine="567"/>
        <w:rPr>
          <w:iCs/>
        </w:rPr>
      </w:pPr>
    </w:p>
    <w:p w14:paraId="1E055F39" w14:textId="77777777" w:rsidR="00731ACC" w:rsidRDefault="00801D18">
      <w:pPr>
        <w:ind w:firstLine="567"/>
        <w:rPr>
          <w:iCs/>
        </w:rPr>
      </w:pPr>
      <w:r>
        <w:rPr>
          <w:iCs/>
        </w:rPr>
        <w:t>18</w:t>
      </w:r>
      <w:r>
        <w:rPr>
          <w:iCs/>
          <w:vertAlign w:val="superscript"/>
        </w:rPr>
        <w:t>10</w:t>
      </w:r>
      <w:r>
        <w:rPr>
          <w:iCs/>
        </w:rPr>
        <w:t>. Страховик для відкликання (анулювання) ліцензії (ліцензій) (крім останньої ліцензії) на здійснення страхової діяльності подає в один із способів, визначених у пункті 20 глави 2 розділу І Положення про ліцензування та реєстрацію, до  Національного банку:</w:t>
      </w:r>
    </w:p>
    <w:p w14:paraId="4F22D4D0" w14:textId="77777777" w:rsidR="00731ACC" w:rsidRDefault="00731ACC">
      <w:pPr>
        <w:ind w:firstLine="567"/>
        <w:rPr>
          <w:iCs/>
        </w:rPr>
      </w:pPr>
    </w:p>
    <w:p w14:paraId="064B17DE" w14:textId="2415E477" w:rsidR="00731ACC" w:rsidRDefault="00801D18">
      <w:pPr>
        <w:ind w:firstLine="567"/>
        <w:rPr>
          <w:iCs/>
        </w:rPr>
      </w:pPr>
      <w:bookmarkStart w:id="1" w:name="n1503"/>
      <w:bookmarkEnd w:id="1"/>
      <w:r>
        <w:rPr>
          <w:iCs/>
        </w:rPr>
        <w:t>1) заяву про відкликання (анулювання) ліцензії (ліцензій) на здійснення страхової діяльності, підписану головою колегіального виконавчого органу/ особою, яка здійснює повноваження одноосібного виконавчого органу або іншим уповноваженим представником страховика;</w:t>
      </w:r>
    </w:p>
    <w:p w14:paraId="09DF4D22" w14:textId="77777777" w:rsidR="00731ACC" w:rsidRDefault="00731ACC">
      <w:pPr>
        <w:ind w:firstLine="567"/>
        <w:rPr>
          <w:iCs/>
        </w:rPr>
      </w:pPr>
    </w:p>
    <w:p w14:paraId="569ECEA4" w14:textId="1A38034E" w:rsidR="00731ACC" w:rsidRDefault="00801D18">
      <w:pPr>
        <w:ind w:firstLine="567"/>
        <w:rPr>
          <w:iCs/>
        </w:rPr>
      </w:pPr>
      <w:r>
        <w:rPr>
          <w:iCs/>
        </w:rPr>
        <w:t>2) документ, що підтверджує повноваження уповноваженого представника на подання та підписання документів від імені страховика, якщо заява підписана не головою колегіального виконавчого органу/особою, яка здійснює повноваження одноосібного виконавчого органу страховика</w:t>
      </w:r>
      <w:r>
        <w:t>;</w:t>
      </w:r>
    </w:p>
    <w:p w14:paraId="256A59BF" w14:textId="77777777" w:rsidR="00731ACC" w:rsidRDefault="00731ACC">
      <w:pPr>
        <w:ind w:firstLine="567"/>
        <w:rPr>
          <w:iCs/>
        </w:rPr>
      </w:pPr>
    </w:p>
    <w:p w14:paraId="7C01CB00" w14:textId="77777777" w:rsidR="00731ACC" w:rsidRDefault="00801D18">
      <w:pPr>
        <w:ind w:firstLine="567"/>
        <w:rPr>
          <w:iCs/>
        </w:rPr>
      </w:pPr>
      <w:bookmarkStart w:id="2" w:name="n1504"/>
      <w:bookmarkEnd w:id="2"/>
      <w:r>
        <w:rPr>
          <w:iCs/>
        </w:rPr>
        <w:t>3) рішення  органу управління страховика (його засвідчену копію), до компетенції якого відповідно до статуту страховика належить прийняття такого рішення.</w:t>
      </w:r>
    </w:p>
    <w:p w14:paraId="6BD5BE4D" w14:textId="77777777" w:rsidR="00731ACC" w:rsidRDefault="00731ACC">
      <w:pPr>
        <w:ind w:firstLine="567"/>
        <w:rPr>
          <w:iCs/>
        </w:rPr>
      </w:pPr>
    </w:p>
    <w:p w14:paraId="01F28132" w14:textId="4094BC18" w:rsidR="00731ACC" w:rsidRDefault="00801D18">
      <w:pPr>
        <w:ind w:firstLine="567"/>
        <w:rPr>
          <w:iCs/>
        </w:rPr>
      </w:pPr>
      <w:r>
        <w:rPr>
          <w:iCs/>
        </w:rPr>
        <w:t>18</w:t>
      </w:r>
      <w:r>
        <w:rPr>
          <w:iCs/>
          <w:vertAlign w:val="superscript"/>
        </w:rPr>
        <w:t>11</w:t>
      </w:r>
      <w:r>
        <w:rPr>
          <w:iCs/>
        </w:rPr>
        <w:t>. Страховик, який не має зобов</w:t>
      </w:r>
      <w:r w:rsidR="00406F18">
        <w:rPr>
          <w:iCs/>
        </w:rPr>
        <w:t>’</w:t>
      </w:r>
      <w:r>
        <w:rPr>
          <w:iCs/>
        </w:rPr>
        <w:t>язань за договорами страхування (перестрахування, співстрахування), для відкликання (анулювання) останньої ліцензії (останніх ліцензій) на здійснення страхової діяльності  та виключення відомостей про страховика з Реєстру подає в один із способів, визначених у пункті 20 глави 2 розділу І Положення про ліцензування та реєстрацію, до  Національного банку:</w:t>
      </w:r>
    </w:p>
    <w:p w14:paraId="4F52F9F6" w14:textId="77777777" w:rsidR="00731ACC" w:rsidRDefault="00731ACC">
      <w:pPr>
        <w:ind w:firstLine="567"/>
        <w:rPr>
          <w:iCs/>
        </w:rPr>
      </w:pPr>
    </w:p>
    <w:p w14:paraId="3D4C1EF2" w14:textId="29253F6A" w:rsidR="00731ACC" w:rsidRDefault="00801D18">
      <w:pPr>
        <w:tabs>
          <w:tab w:val="left" w:pos="993"/>
        </w:tabs>
        <w:ind w:firstLine="567"/>
        <w:rPr>
          <w:iCs/>
        </w:rPr>
      </w:pPr>
      <w:r>
        <w:rPr>
          <w:iCs/>
        </w:rPr>
        <w:t>1) заяву про відкликання (анулювання) останньої ліцензії (останніх ліцензій) на здійснення страхової діяльності та виключення відомостей про страховика із Реєстру  в довільній формі, підписану головою колегіального виконавчого органу/особою, яка здійснює повноваження одноосібного виконавчого органу</w:t>
      </w:r>
      <w:r w:rsidR="00624439">
        <w:rPr>
          <w:iCs/>
        </w:rPr>
        <w:t>,</w:t>
      </w:r>
      <w:r>
        <w:rPr>
          <w:iCs/>
        </w:rPr>
        <w:t xml:space="preserve"> або іншим уповноваженим представником страховика;</w:t>
      </w:r>
    </w:p>
    <w:p w14:paraId="2C4C0CD2" w14:textId="77777777" w:rsidR="00731ACC" w:rsidRDefault="00731ACC">
      <w:pPr>
        <w:pStyle w:val="42"/>
        <w:tabs>
          <w:tab w:val="left" w:pos="993"/>
        </w:tabs>
        <w:ind w:left="567"/>
        <w:rPr>
          <w:iCs/>
        </w:rPr>
      </w:pPr>
    </w:p>
    <w:p w14:paraId="7C94A522" w14:textId="063CB621" w:rsidR="00731ACC" w:rsidRDefault="00801D18">
      <w:pPr>
        <w:tabs>
          <w:tab w:val="left" w:pos="993"/>
        </w:tabs>
        <w:ind w:firstLine="567"/>
        <w:rPr>
          <w:iCs/>
        </w:rPr>
      </w:pPr>
      <w:r>
        <w:t>2) документ, що підтверджує повноваження уповноваженого представника на подання та підписання документів від імені страховика, якщо заява підписана не головою колегіального виконавчого органу/особою, яка здійснює повноваження одноосібного виконавчого органу страховика;</w:t>
      </w:r>
    </w:p>
    <w:p w14:paraId="6D90092D" w14:textId="77777777" w:rsidR="00731ACC" w:rsidRDefault="00731ACC">
      <w:pPr>
        <w:tabs>
          <w:tab w:val="left" w:pos="993"/>
        </w:tabs>
        <w:rPr>
          <w:iCs/>
        </w:rPr>
      </w:pPr>
    </w:p>
    <w:p w14:paraId="49BCFF0E" w14:textId="77777777" w:rsidR="00731ACC" w:rsidRDefault="00801D18">
      <w:pPr>
        <w:tabs>
          <w:tab w:val="left" w:pos="993"/>
        </w:tabs>
        <w:ind w:firstLine="567"/>
        <w:rPr>
          <w:iCs/>
        </w:rPr>
      </w:pPr>
      <w:r>
        <w:rPr>
          <w:iCs/>
        </w:rPr>
        <w:t>3) рішення  органу управління страховика (його засвідчену копію), до компетенції якого відповідно до статуту страховика належить прийняття такого рішення</w:t>
      </w:r>
      <w:r>
        <w:rPr>
          <w:shd w:val="clear" w:color="auto" w:fill="FFFFFF"/>
        </w:rPr>
        <w:t>;</w:t>
      </w:r>
    </w:p>
    <w:p w14:paraId="729191BA" w14:textId="77777777" w:rsidR="00731ACC" w:rsidRDefault="00731ACC">
      <w:pPr>
        <w:tabs>
          <w:tab w:val="left" w:pos="993"/>
        </w:tabs>
        <w:rPr>
          <w:iCs/>
        </w:rPr>
      </w:pPr>
    </w:p>
    <w:p w14:paraId="55907E03" w14:textId="6223CC27" w:rsidR="00731ACC" w:rsidRDefault="00801D18">
      <w:pPr>
        <w:tabs>
          <w:tab w:val="left" w:pos="993"/>
        </w:tabs>
        <w:ind w:firstLine="567"/>
        <w:rPr>
          <w:iCs/>
        </w:rPr>
      </w:pPr>
      <w:r>
        <w:rPr>
          <w:iCs/>
        </w:rPr>
        <w:t>4) звітність, визначену Правилами № 123  на останній день місяця, що передує дню подання страховиком до Національного банку заяви про відкликання (анулювання) ліцензії (ліцензій) та виключення відомостей про страховика з Реєстру (якщо така звітність на визначену дату не була подана до Національного банку раніше).</w:t>
      </w:r>
    </w:p>
    <w:p w14:paraId="233F133B" w14:textId="77777777" w:rsidR="00731ACC" w:rsidRDefault="00731ACC">
      <w:pPr>
        <w:ind w:firstLine="567"/>
        <w:rPr>
          <w:iCs/>
        </w:rPr>
      </w:pPr>
      <w:bookmarkStart w:id="3" w:name="n1506"/>
      <w:bookmarkStart w:id="4" w:name="n1505"/>
      <w:bookmarkStart w:id="5" w:name="n1507"/>
      <w:bookmarkEnd w:id="3"/>
      <w:bookmarkEnd w:id="4"/>
      <w:bookmarkEnd w:id="5"/>
    </w:p>
    <w:p w14:paraId="45D1859E" w14:textId="77777777" w:rsidR="00731ACC" w:rsidRDefault="00801D18">
      <w:pPr>
        <w:ind w:firstLine="567"/>
        <w:rPr>
          <w:iCs/>
        </w:rPr>
      </w:pPr>
      <w:r>
        <w:rPr>
          <w:iCs/>
        </w:rPr>
        <w:t>18</w:t>
      </w:r>
      <w:r>
        <w:rPr>
          <w:iCs/>
          <w:vertAlign w:val="superscript"/>
        </w:rPr>
        <w:t>12</w:t>
      </w:r>
      <w:r>
        <w:rPr>
          <w:iCs/>
        </w:rPr>
        <w:t xml:space="preserve">. </w:t>
      </w:r>
      <w:r>
        <w:t xml:space="preserve">Національний банк має право прийняти рішення про відкликання (анулювання) ліцензії (ліцензій) на здійснення страхової діяльності або про відмову в її/їх відкликанні  (анулюванні) у разі отримання від страховика </w:t>
      </w:r>
      <w:r>
        <w:lastRenderedPageBreak/>
        <w:t>передбачених у пункті 18</w:t>
      </w:r>
      <w:r>
        <w:rPr>
          <w:vertAlign w:val="superscript"/>
        </w:rPr>
        <w:t>10</w:t>
      </w:r>
      <w:r>
        <w:t xml:space="preserve"> цієї постанови документів (рішення приймає Комітет з питань нагляду)</w:t>
      </w:r>
      <w:r>
        <w:rPr>
          <w:iCs/>
        </w:rPr>
        <w:t>.</w:t>
      </w:r>
    </w:p>
    <w:p w14:paraId="11FFC74F" w14:textId="125BEEE7" w:rsidR="00731ACC" w:rsidRDefault="00801D18">
      <w:pPr>
        <w:ind w:firstLine="567"/>
        <w:rPr>
          <w:iCs/>
        </w:rPr>
      </w:pPr>
      <w:r>
        <w:t xml:space="preserve">Національний банк має право прийняти рішення про відкликання (анулювання) ліцензії (ліцензій) на здійснення страхової діяльності та виключення відомостей про страховика з </w:t>
      </w:r>
      <w:r>
        <w:rPr>
          <w:shd w:val="clear" w:color="auto" w:fill="FFFFFF"/>
        </w:rPr>
        <w:t xml:space="preserve">Реєстру </w:t>
      </w:r>
      <w:r>
        <w:t>або про відмову в її/їх відкликанні  (анулюванні) та виключенні відомостей про страховика з Р</w:t>
      </w:r>
      <w:r>
        <w:rPr>
          <w:shd w:val="clear" w:color="auto" w:fill="FFFFFF"/>
        </w:rPr>
        <w:t xml:space="preserve">еєстру </w:t>
      </w:r>
      <w:r>
        <w:t xml:space="preserve"> </w:t>
      </w:r>
      <w:r w:rsidR="00406F18">
        <w:t xml:space="preserve">в </w:t>
      </w:r>
      <w:r>
        <w:t>разі отримання від страховика передбачених у пункті 18</w:t>
      </w:r>
      <w:r>
        <w:rPr>
          <w:vertAlign w:val="superscript"/>
        </w:rPr>
        <w:t>11</w:t>
      </w:r>
      <w:r>
        <w:t xml:space="preserve"> цієї постанови документів (рішення приймає Комітет з питань нагляду).</w:t>
      </w:r>
    </w:p>
    <w:p w14:paraId="1C8DCB10" w14:textId="77777777" w:rsidR="00731ACC" w:rsidRDefault="00731ACC">
      <w:pPr>
        <w:ind w:firstLine="567"/>
        <w:rPr>
          <w:iCs/>
        </w:rPr>
      </w:pPr>
    </w:p>
    <w:p w14:paraId="06B3E27B" w14:textId="6BE8DB9F" w:rsidR="00731ACC" w:rsidRDefault="00801D18">
      <w:pPr>
        <w:ind w:firstLine="567"/>
        <w:rPr>
          <w:iCs/>
        </w:rPr>
      </w:pPr>
      <w:r>
        <w:rPr>
          <w:iCs/>
        </w:rPr>
        <w:t>18</w:t>
      </w:r>
      <w:r>
        <w:rPr>
          <w:iCs/>
          <w:vertAlign w:val="superscript"/>
        </w:rPr>
        <w:t>13</w:t>
      </w:r>
      <w:r>
        <w:rPr>
          <w:iCs/>
        </w:rPr>
        <w:t xml:space="preserve">. </w:t>
      </w:r>
      <w:r>
        <w:t>Національний банк має право відмовити у відкликанні (анулюванні) ліцензії (ліцензій) (крім останньої) або у відкликанні (анулюванні) останньої ліцензії (останніх ліцензій) та виключенні відомостей про страховика з Реєстру в разі</w:t>
      </w:r>
      <w:r>
        <w:rPr>
          <w:iCs/>
        </w:rPr>
        <w:t>:</w:t>
      </w:r>
    </w:p>
    <w:p w14:paraId="3E044EF7" w14:textId="77777777" w:rsidR="00731ACC" w:rsidRDefault="00731ACC">
      <w:pPr>
        <w:ind w:firstLine="567"/>
        <w:rPr>
          <w:iCs/>
        </w:rPr>
      </w:pPr>
    </w:p>
    <w:p w14:paraId="4656421B" w14:textId="77777777" w:rsidR="00731ACC" w:rsidRDefault="00801D18">
      <w:pPr>
        <w:tabs>
          <w:tab w:val="left" w:pos="993"/>
        </w:tabs>
        <w:ind w:firstLine="567"/>
        <w:rPr>
          <w:iCs/>
        </w:rPr>
      </w:pPr>
      <w:r>
        <w:rPr>
          <w:iCs/>
        </w:rPr>
        <w:t xml:space="preserve">1) наявності у страховика невиконаного заходу впливу за порушення вимог законодавства України про регулювання діяльності з надання фінансових послуг; </w:t>
      </w:r>
    </w:p>
    <w:p w14:paraId="7632E09E" w14:textId="77777777" w:rsidR="00731ACC" w:rsidRDefault="00731ACC">
      <w:pPr>
        <w:pStyle w:val="42"/>
        <w:tabs>
          <w:tab w:val="left" w:pos="993"/>
        </w:tabs>
        <w:ind w:left="567"/>
        <w:rPr>
          <w:iCs/>
        </w:rPr>
      </w:pPr>
    </w:p>
    <w:p w14:paraId="18E0134C" w14:textId="5F3E5C72" w:rsidR="00731ACC" w:rsidRDefault="00801D18">
      <w:pPr>
        <w:ind w:firstLine="567"/>
        <w:rPr>
          <w:iCs/>
        </w:rPr>
      </w:pPr>
      <w:r>
        <w:rPr>
          <w:iCs/>
        </w:rPr>
        <w:t xml:space="preserve">2) невідповідності документів, передбачених </w:t>
      </w:r>
      <w:r w:rsidR="00EC7EE9">
        <w:rPr>
          <w:iCs/>
        </w:rPr>
        <w:t xml:space="preserve">у </w:t>
      </w:r>
      <w:r>
        <w:rPr>
          <w:iCs/>
        </w:rPr>
        <w:t>пункт</w:t>
      </w:r>
      <w:r w:rsidR="00EC7EE9">
        <w:rPr>
          <w:iCs/>
        </w:rPr>
        <w:t>і</w:t>
      </w:r>
      <w:r>
        <w:rPr>
          <w:iCs/>
        </w:rPr>
        <w:t xml:space="preserve"> 18</w:t>
      </w:r>
      <w:r>
        <w:rPr>
          <w:iCs/>
          <w:vertAlign w:val="superscript"/>
        </w:rPr>
        <w:t>10</w:t>
      </w:r>
      <w:r>
        <w:rPr>
          <w:iCs/>
        </w:rPr>
        <w:t xml:space="preserve"> або 18</w:t>
      </w:r>
      <w:r>
        <w:rPr>
          <w:iCs/>
          <w:vertAlign w:val="superscript"/>
        </w:rPr>
        <w:t xml:space="preserve">11 </w:t>
      </w:r>
      <w:r>
        <w:rPr>
          <w:iCs/>
        </w:rPr>
        <w:t xml:space="preserve">цієї постанови, вимогам законодавства України; </w:t>
      </w:r>
    </w:p>
    <w:p w14:paraId="675114DC" w14:textId="77777777" w:rsidR="00731ACC" w:rsidRDefault="00731ACC">
      <w:pPr>
        <w:ind w:firstLine="567"/>
        <w:rPr>
          <w:iCs/>
        </w:rPr>
      </w:pPr>
    </w:p>
    <w:p w14:paraId="2C9A3C5A" w14:textId="5C3B9F51" w:rsidR="00731ACC" w:rsidRDefault="00801D18">
      <w:pPr>
        <w:ind w:firstLine="567"/>
        <w:rPr>
          <w:iCs/>
        </w:rPr>
      </w:pPr>
      <w:r>
        <w:rPr>
          <w:iCs/>
        </w:rPr>
        <w:t xml:space="preserve">3) подання неповного </w:t>
      </w:r>
      <w:r w:rsidR="00EC7EE9">
        <w:rPr>
          <w:iCs/>
        </w:rPr>
        <w:t xml:space="preserve">пакета </w:t>
      </w:r>
      <w:r>
        <w:rPr>
          <w:iCs/>
        </w:rPr>
        <w:t xml:space="preserve">документів, передбаченого </w:t>
      </w:r>
      <w:r w:rsidR="00EC7EE9">
        <w:rPr>
          <w:iCs/>
        </w:rPr>
        <w:t xml:space="preserve">в </w:t>
      </w:r>
      <w:r>
        <w:rPr>
          <w:iCs/>
        </w:rPr>
        <w:t>пункт</w:t>
      </w:r>
      <w:r w:rsidR="00EC7EE9">
        <w:rPr>
          <w:iCs/>
        </w:rPr>
        <w:t>і</w:t>
      </w:r>
      <w:r>
        <w:rPr>
          <w:iCs/>
        </w:rPr>
        <w:t xml:space="preserve"> 18</w:t>
      </w:r>
      <w:r>
        <w:rPr>
          <w:iCs/>
          <w:vertAlign w:val="superscript"/>
        </w:rPr>
        <w:t>10</w:t>
      </w:r>
      <w:r>
        <w:rPr>
          <w:iCs/>
        </w:rPr>
        <w:t xml:space="preserve"> або 18</w:t>
      </w:r>
      <w:r>
        <w:rPr>
          <w:iCs/>
          <w:vertAlign w:val="superscript"/>
        </w:rPr>
        <w:t xml:space="preserve">11 </w:t>
      </w:r>
      <w:r>
        <w:rPr>
          <w:iCs/>
        </w:rPr>
        <w:t>цієї постанови;</w:t>
      </w:r>
    </w:p>
    <w:p w14:paraId="340A08E9" w14:textId="77777777" w:rsidR="00731ACC" w:rsidRDefault="00731ACC">
      <w:pPr>
        <w:ind w:firstLine="567"/>
        <w:rPr>
          <w:iCs/>
        </w:rPr>
      </w:pPr>
    </w:p>
    <w:p w14:paraId="00049FAD" w14:textId="765BE0EE" w:rsidR="00731ACC" w:rsidRDefault="00801D18">
      <w:pPr>
        <w:ind w:firstLine="567"/>
        <w:rPr>
          <w:iCs/>
        </w:rPr>
      </w:pPr>
      <w:r>
        <w:rPr>
          <w:iCs/>
        </w:rPr>
        <w:t xml:space="preserve">4) </w:t>
      </w:r>
      <w:r>
        <w:t xml:space="preserve">якщо подані документи, передбачені </w:t>
      </w:r>
      <w:r w:rsidR="00EC7EE9">
        <w:t xml:space="preserve">в </w:t>
      </w:r>
      <w:r>
        <w:t>пункт</w:t>
      </w:r>
      <w:r w:rsidR="00EC7EE9">
        <w:t>і</w:t>
      </w:r>
      <w:r>
        <w:t xml:space="preserve"> 18</w:t>
      </w:r>
      <w:r>
        <w:rPr>
          <w:vertAlign w:val="superscript"/>
        </w:rPr>
        <w:t>10</w:t>
      </w:r>
      <w:r>
        <w:t xml:space="preserve"> або 18</w:t>
      </w:r>
      <w:r>
        <w:rPr>
          <w:vertAlign w:val="superscript"/>
        </w:rPr>
        <w:t>11</w:t>
      </w:r>
      <w:r>
        <w:t xml:space="preserve"> цієї постанови, містять неповну або недостовірну інформацію</w:t>
      </w:r>
      <w:r>
        <w:rPr>
          <w:iCs/>
        </w:rPr>
        <w:t>;</w:t>
      </w:r>
    </w:p>
    <w:p w14:paraId="4C6E58D5" w14:textId="77777777" w:rsidR="00731ACC" w:rsidRDefault="00731ACC">
      <w:pPr>
        <w:ind w:firstLine="567"/>
        <w:rPr>
          <w:iCs/>
        </w:rPr>
      </w:pPr>
    </w:p>
    <w:p w14:paraId="4052CAEE" w14:textId="77777777" w:rsidR="00731ACC" w:rsidRDefault="00801D18">
      <w:pPr>
        <w:ind w:firstLine="567"/>
        <w:rPr>
          <w:iCs/>
        </w:rPr>
      </w:pPr>
      <w:r>
        <w:rPr>
          <w:iCs/>
        </w:rPr>
        <w:t>5) виявлення підстав, за якими ліцензія (ліцензії) може/можуть бути відкликана/відкликані (анульована/анульовані) за рішенням Національного банку;</w:t>
      </w:r>
    </w:p>
    <w:p w14:paraId="433FF536" w14:textId="77777777" w:rsidR="00731ACC" w:rsidRDefault="00731ACC">
      <w:pPr>
        <w:pStyle w:val="42"/>
        <w:ind w:left="927"/>
        <w:rPr>
          <w:iCs/>
        </w:rPr>
      </w:pPr>
    </w:p>
    <w:p w14:paraId="07AEEFEA" w14:textId="17790EBF" w:rsidR="00731ACC" w:rsidRDefault="00801D18">
      <w:pPr>
        <w:ind w:firstLine="567"/>
        <w:rPr>
          <w:iCs/>
        </w:rPr>
      </w:pPr>
      <w:r>
        <w:rPr>
          <w:iCs/>
        </w:rPr>
        <w:t xml:space="preserve">6) наявності у страховика </w:t>
      </w:r>
      <w:r w:rsidR="00EC7EE9">
        <w:rPr>
          <w:iCs/>
        </w:rPr>
        <w:t xml:space="preserve">зобов’язань </w:t>
      </w:r>
      <w:r>
        <w:rPr>
          <w:iCs/>
        </w:rPr>
        <w:t xml:space="preserve">за договорами страхування (перестрахування, співстрахування) у </w:t>
      </w:r>
      <w:r w:rsidR="00EC7EE9">
        <w:rPr>
          <w:iCs/>
        </w:rPr>
        <w:t xml:space="preserve">разі </w:t>
      </w:r>
      <w:r>
        <w:rPr>
          <w:iCs/>
        </w:rPr>
        <w:t>подання страховиком документів відповідно до пункту 18</w:t>
      </w:r>
      <w:r>
        <w:rPr>
          <w:iCs/>
          <w:vertAlign w:val="superscript"/>
        </w:rPr>
        <w:t xml:space="preserve">11 </w:t>
      </w:r>
      <w:r>
        <w:rPr>
          <w:iCs/>
        </w:rPr>
        <w:t xml:space="preserve">цієї постанови; </w:t>
      </w:r>
    </w:p>
    <w:p w14:paraId="5D368892" w14:textId="77777777" w:rsidR="00731ACC" w:rsidRDefault="00731ACC">
      <w:pPr>
        <w:pStyle w:val="42"/>
        <w:ind w:left="927"/>
        <w:rPr>
          <w:iCs/>
        </w:rPr>
      </w:pPr>
    </w:p>
    <w:p w14:paraId="10223B75" w14:textId="1A377514" w:rsidR="00731ACC" w:rsidRDefault="00801D18">
      <w:pPr>
        <w:ind w:firstLine="567"/>
      </w:pPr>
      <w:r>
        <w:rPr>
          <w:iCs/>
        </w:rPr>
        <w:t>7) неподання страховиком звітності Національному</w:t>
      </w:r>
      <w:r>
        <w:t xml:space="preserve"> </w:t>
      </w:r>
      <w:r>
        <w:rPr>
          <w:iCs/>
        </w:rPr>
        <w:t xml:space="preserve">банку на останню звітну дату, що передує дню подання страховиком заяви, у </w:t>
      </w:r>
      <w:r w:rsidR="00EC7EE9">
        <w:rPr>
          <w:iCs/>
        </w:rPr>
        <w:t xml:space="preserve">разі </w:t>
      </w:r>
      <w:r>
        <w:rPr>
          <w:iCs/>
        </w:rPr>
        <w:t>подання документів відповідно до пункту 18</w:t>
      </w:r>
      <w:r>
        <w:rPr>
          <w:iCs/>
          <w:vertAlign w:val="superscript"/>
        </w:rPr>
        <w:t xml:space="preserve">11 </w:t>
      </w:r>
      <w:r>
        <w:rPr>
          <w:iCs/>
        </w:rPr>
        <w:t>цієї постанови.</w:t>
      </w:r>
    </w:p>
    <w:p w14:paraId="0C4FB8FF" w14:textId="77777777" w:rsidR="00731ACC" w:rsidRDefault="00731ACC">
      <w:pPr>
        <w:ind w:firstLine="567"/>
        <w:rPr>
          <w:iCs/>
        </w:rPr>
      </w:pPr>
      <w:bookmarkStart w:id="6" w:name="n1513"/>
      <w:bookmarkStart w:id="7" w:name="n1512"/>
      <w:bookmarkEnd w:id="6"/>
      <w:bookmarkEnd w:id="7"/>
    </w:p>
    <w:p w14:paraId="6978B8AB" w14:textId="5C9342E0" w:rsidR="00731ACC" w:rsidRDefault="00801D18">
      <w:pPr>
        <w:ind w:firstLine="567"/>
        <w:rPr>
          <w:iCs/>
        </w:rPr>
      </w:pPr>
      <w:r>
        <w:rPr>
          <w:iCs/>
        </w:rPr>
        <w:t>18</w:t>
      </w:r>
      <w:r>
        <w:rPr>
          <w:iCs/>
          <w:vertAlign w:val="superscript"/>
        </w:rPr>
        <w:t>14</w:t>
      </w:r>
      <w:r>
        <w:rPr>
          <w:iCs/>
        </w:rPr>
        <w:t xml:space="preserve">. Національний банк протягом </w:t>
      </w:r>
      <w:r w:rsidRPr="00801D18">
        <w:rPr>
          <w:iCs/>
          <w:lang w:val="ru-RU"/>
        </w:rPr>
        <w:t>15</w:t>
      </w:r>
      <w:r>
        <w:rPr>
          <w:iCs/>
        </w:rPr>
        <w:t xml:space="preserve"> робочих днів із дня отримання документів, визначених </w:t>
      </w:r>
      <w:r w:rsidR="00EC7EE9">
        <w:rPr>
          <w:iCs/>
        </w:rPr>
        <w:t xml:space="preserve">у </w:t>
      </w:r>
      <w:r>
        <w:rPr>
          <w:iCs/>
        </w:rPr>
        <w:t>пункт</w:t>
      </w:r>
      <w:r w:rsidR="00EC7EE9">
        <w:rPr>
          <w:iCs/>
        </w:rPr>
        <w:t>і</w:t>
      </w:r>
      <w:r>
        <w:rPr>
          <w:iCs/>
        </w:rPr>
        <w:t xml:space="preserve">  18</w:t>
      </w:r>
      <w:r>
        <w:rPr>
          <w:iCs/>
          <w:vertAlign w:val="superscript"/>
        </w:rPr>
        <w:t>10</w:t>
      </w:r>
      <w:r>
        <w:rPr>
          <w:iCs/>
        </w:rPr>
        <w:t xml:space="preserve"> або 18</w:t>
      </w:r>
      <w:r>
        <w:rPr>
          <w:iCs/>
          <w:vertAlign w:val="superscript"/>
        </w:rPr>
        <w:t>11</w:t>
      </w:r>
      <w:r>
        <w:rPr>
          <w:iCs/>
        </w:rPr>
        <w:t xml:space="preserve"> цієї постанови, має право:</w:t>
      </w:r>
    </w:p>
    <w:p w14:paraId="57517480" w14:textId="77777777" w:rsidR="00731ACC" w:rsidRDefault="00731ACC">
      <w:pPr>
        <w:ind w:firstLine="567"/>
        <w:rPr>
          <w:iCs/>
        </w:rPr>
      </w:pPr>
    </w:p>
    <w:p w14:paraId="6AEF406B" w14:textId="77777777" w:rsidR="00731ACC" w:rsidRDefault="00801D18">
      <w:pPr>
        <w:ind w:firstLine="567"/>
        <w:rPr>
          <w:iCs/>
        </w:rPr>
      </w:pPr>
      <w:r>
        <w:rPr>
          <w:iCs/>
        </w:rPr>
        <w:t>1) надати пропозиції до документів, поданих страховиком;</w:t>
      </w:r>
    </w:p>
    <w:p w14:paraId="7787349D" w14:textId="77777777" w:rsidR="00731ACC" w:rsidRDefault="00731ACC">
      <w:pPr>
        <w:ind w:firstLine="567"/>
        <w:rPr>
          <w:iCs/>
        </w:rPr>
      </w:pPr>
    </w:p>
    <w:p w14:paraId="18FA7308" w14:textId="77777777" w:rsidR="00731ACC" w:rsidRDefault="00801D18">
      <w:pPr>
        <w:ind w:firstLine="567"/>
        <w:rPr>
          <w:iCs/>
        </w:rPr>
      </w:pPr>
      <w:r>
        <w:rPr>
          <w:iCs/>
        </w:rPr>
        <w:t>2) установити строк для опрацювання наданих пропозицій;</w:t>
      </w:r>
    </w:p>
    <w:p w14:paraId="5B1BC775" w14:textId="77777777" w:rsidR="00731ACC" w:rsidRDefault="00731ACC">
      <w:pPr>
        <w:pStyle w:val="42"/>
        <w:ind w:left="927"/>
        <w:rPr>
          <w:iCs/>
        </w:rPr>
      </w:pPr>
    </w:p>
    <w:p w14:paraId="53BFAD44" w14:textId="77777777" w:rsidR="00731ACC" w:rsidRDefault="00801D18">
      <w:pPr>
        <w:ind w:firstLine="567"/>
        <w:jc w:val="left"/>
        <w:rPr>
          <w:iCs/>
        </w:rPr>
      </w:pPr>
      <w:r>
        <w:rPr>
          <w:iCs/>
        </w:rPr>
        <w:t>3) вимагати надання додаткової інформації, документів та/або пояснень до поданих страховиком документів.</w:t>
      </w:r>
    </w:p>
    <w:p w14:paraId="7B66FAC4" w14:textId="77777777" w:rsidR="00731ACC" w:rsidRDefault="00731ACC">
      <w:pPr>
        <w:ind w:firstLine="567"/>
        <w:rPr>
          <w:iCs/>
        </w:rPr>
      </w:pPr>
    </w:p>
    <w:p w14:paraId="38AF3514" w14:textId="77777777" w:rsidR="00731ACC" w:rsidRDefault="00801D18">
      <w:pPr>
        <w:ind w:firstLine="567"/>
        <w:rPr>
          <w:iCs/>
        </w:rPr>
      </w:pPr>
      <w:r>
        <w:rPr>
          <w:iCs/>
        </w:rPr>
        <w:t>18</w:t>
      </w:r>
      <w:r>
        <w:rPr>
          <w:iCs/>
          <w:vertAlign w:val="superscript"/>
        </w:rPr>
        <w:t>15</w:t>
      </w:r>
      <w:r>
        <w:rPr>
          <w:iCs/>
        </w:rPr>
        <w:t xml:space="preserve">. Національний банк:  </w:t>
      </w:r>
    </w:p>
    <w:p w14:paraId="34940E1E" w14:textId="77777777" w:rsidR="00731ACC" w:rsidRDefault="00731ACC">
      <w:pPr>
        <w:ind w:firstLine="567"/>
        <w:rPr>
          <w:iCs/>
        </w:rPr>
      </w:pPr>
    </w:p>
    <w:p w14:paraId="2EEE642D" w14:textId="4FFCEF5A" w:rsidR="00731ACC" w:rsidRDefault="00801D18">
      <w:pPr>
        <w:ind w:firstLine="567"/>
        <w:rPr>
          <w:iCs/>
        </w:rPr>
      </w:pPr>
      <w:r>
        <w:rPr>
          <w:iCs/>
        </w:rPr>
        <w:t xml:space="preserve">1) </w:t>
      </w:r>
      <w:r>
        <w:rPr>
          <w:iCs/>
          <w:lang w:eastAsia="uk-UA"/>
        </w:rPr>
        <w:t xml:space="preserve">протягом </w:t>
      </w:r>
      <w:r w:rsidR="00061F3C">
        <w:rPr>
          <w:iCs/>
          <w:lang w:eastAsia="uk-UA"/>
        </w:rPr>
        <w:t>25</w:t>
      </w:r>
      <w:r>
        <w:rPr>
          <w:iCs/>
          <w:lang w:eastAsia="uk-UA"/>
        </w:rPr>
        <w:t xml:space="preserve"> робочих днів із дня отримання повного пакет</w:t>
      </w:r>
      <w:r w:rsidR="00EC7EE9">
        <w:rPr>
          <w:iCs/>
          <w:lang w:eastAsia="uk-UA"/>
        </w:rPr>
        <w:t>а</w:t>
      </w:r>
      <w:r>
        <w:rPr>
          <w:iCs/>
          <w:lang w:eastAsia="uk-UA"/>
        </w:rPr>
        <w:t xml:space="preserve"> документів, визначених </w:t>
      </w:r>
      <w:r w:rsidR="00EC7EE9">
        <w:rPr>
          <w:iCs/>
          <w:lang w:eastAsia="uk-UA"/>
        </w:rPr>
        <w:t xml:space="preserve">у </w:t>
      </w:r>
      <w:r>
        <w:rPr>
          <w:iCs/>
          <w:lang w:eastAsia="uk-UA"/>
        </w:rPr>
        <w:t>пункт</w:t>
      </w:r>
      <w:r w:rsidR="00EC7EE9">
        <w:rPr>
          <w:iCs/>
          <w:lang w:eastAsia="uk-UA"/>
        </w:rPr>
        <w:t>і</w:t>
      </w:r>
      <w:r>
        <w:rPr>
          <w:iCs/>
          <w:lang w:eastAsia="uk-UA"/>
        </w:rPr>
        <w:t xml:space="preserve">  18</w:t>
      </w:r>
      <w:r>
        <w:rPr>
          <w:iCs/>
          <w:vertAlign w:val="superscript"/>
          <w:lang w:eastAsia="uk-UA"/>
        </w:rPr>
        <w:t>10</w:t>
      </w:r>
      <w:r>
        <w:rPr>
          <w:iCs/>
          <w:lang w:eastAsia="uk-UA"/>
        </w:rPr>
        <w:t xml:space="preserve"> або 18</w:t>
      </w:r>
      <w:r>
        <w:rPr>
          <w:iCs/>
          <w:vertAlign w:val="superscript"/>
          <w:lang w:eastAsia="uk-UA"/>
        </w:rPr>
        <w:t>11</w:t>
      </w:r>
      <w:r>
        <w:rPr>
          <w:iCs/>
          <w:lang w:eastAsia="uk-UA"/>
        </w:rPr>
        <w:t xml:space="preserve"> цієї постанови, приймає відповідне рішення про відкликання (анулювання) ліцензії (ліцензій) (крім останньої) </w:t>
      </w:r>
      <w:r>
        <w:t xml:space="preserve">на здійснення страхової діяльності </w:t>
      </w:r>
      <w:r>
        <w:rPr>
          <w:iCs/>
          <w:lang w:eastAsia="uk-UA"/>
        </w:rPr>
        <w:t xml:space="preserve">або про відкликання (анулювання) останньої ліцензії (останніх ліцензій)  </w:t>
      </w:r>
      <w:r>
        <w:t xml:space="preserve">на здійснення страхової діяльності </w:t>
      </w:r>
      <w:r>
        <w:rPr>
          <w:iCs/>
          <w:lang w:eastAsia="uk-UA"/>
        </w:rPr>
        <w:t xml:space="preserve">та виключення відомостей про страховика з Реєстру або про відмову у відкликанні (анулюванні) ліцензії (ліцензій) </w:t>
      </w:r>
      <w:r>
        <w:t xml:space="preserve">на здійснення страхової діяльності </w:t>
      </w:r>
      <w:r>
        <w:rPr>
          <w:iCs/>
          <w:lang w:eastAsia="uk-UA"/>
        </w:rPr>
        <w:t>або про відмову у відкликанні (анулюванні) останньої ліцензі</w:t>
      </w:r>
      <w:r w:rsidR="00EA2565">
        <w:rPr>
          <w:iCs/>
          <w:lang w:eastAsia="uk-UA"/>
        </w:rPr>
        <w:t>ї</w:t>
      </w:r>
      <w:r>
        <w:rPr>
          <w:iCs/>
          <w:lang w:eastAsia="uk-UA"/>
        </w:rPr>
        <w:t xml:space="preserve"> (останніх ліцензій) </w:t>
      </w:r>
      <w:r>
        <w:t>на здійснення страхової діяльності</w:t>
      </w:r>
      <w:r>
        <w:rPr>
          <w:iCs/>
          <w:lang w:eastAsia="uk-UA"/>
        </w:rPr>
        <w:t xml:space="preserve"> та виключенні відомостей про страховика з Реєстру</w:t>
      </w:r>
      <w:r>
        <w:rPr>
          <w:iCs/>
        </w:rPr>
        <w:t>;</w:t>
      </w:r>
    </w:p>
    <w:p w14:paraId="0A85CC92" w14:textId="77777777" w:rsidR="00731ACC" w:rsidRDefault="00731ACC">
      <w:pPr>
        <w:ind w:firstLine="567"/>
        <w:rPr>
          <w:iCs/>
        </w:rPr>
      </w:pPr>
    </w:p>
    <w:p w14:paraId="4A05B5AF" w14:textId="38531500" w:rsidR="00731ACC" w:rsidRDefault="00801D18">
      <w:pPr>
        <w:ind w:firstLine="567"/>
        <w:rPr>
          <w:iCs/>
        </w:rPr>
      </w:pPr>
      <w:r>
        <w:rPr>
          <w:iCs/>
        </w:rPr>
        <w:t xml:space="preserve">2) </w:t>
      </w:r>
      <w:r>
        <w:rPr>
          <w:iCs/>
          <w:lang w:eastAsia="uk-UA"/>
        </w:rPr>
        <w:t xml:space="preserve">не пізніше робочого дня, наступного за днем прийняття рішення про відкликання (анулювання) ліцензії (ліцензій) (крім останньої) </w:t>
      </w:r>
      <w:r>
        <w:t xml:space="preserve">на здійснення страхової діяльності </w:t>
      </w:r>
      <w:r>
        <w:rPr>
          <w:iCs/>
          <w:lang w:eastAsia="uk-UA"/>
        </w:rPr>
        <w:t xml:space="preserve">або про відкликання (анулювання) останньої ліцензій (останніх ліцензій) </w:t>
      </w:r>
      <w:r>
        <w:t xml:space="preserve">на здійснення страхової діяльності </w:t>
      </w:r>
      <w:r>
        <w:rPr>
          <w:iCs/>
          <w:lang w:eastAsia="uk-UA"/>
        </w:rPr>
        <w:t xml:space="preserve">та виключення відомостей про страховика з Реєстру, </w:t>
      </w:r>
      <w:r w:rsidR="00624439">
        <w:rPr>
          <w:iCs/>
          <w:lang w:eastAsia="uk-UA"/>
        </w:rPr>
        <w:t xml:space="preserve">уносить </w:t>
      </w:r>
      <w:r>
        <w:rPr>
          <w:iCs/>
          <w:lang w:eastAsia="uk-UA"/>
        </w:rPr>
        <w:t>до Реєстру відповідні зміни</w:t>
      </w:r>
      <w:r>
        <w:rPr>
          <w:iCs/>
        </w:rPr>
        <w:t>;</w:t>
      </w:r>
    </w:p>
    <w:p w14:paraId="5817E0B3" w14:textId="77777777" w:rsidR="00731ACC" w:rsidRDefault="00731ACC">
      <w:pPr>
        <w:ind w:firstLine="567"/>
        <w:rPr>
          <w:iCs/>
        </w:rPr>
      </w:pPr>
    </w:p>
    <w:p w14:paraId="271422F9" w14:textId="12A1F215" w:rsidR="00731ACC" w:rsidRDefault="00801D18">
      <w:pPr>
        <w:ind w:firstLine="567"/>
        <w:rPr>
          <w:iCs/>
        </w:rPr>
      </w:pPr>
      <w:r>
        <w:rPr>
          <w:iCs/>
        </w:rPr>
        <w:t xml:space="preserve">3) </w:t>
      </w:r>
      <w:r>
        <w:rPr>
          <w:iCs/>
          <w:lang w:eastAsia="uk-UA"/>
        </w:rPr>
        <w:t xml:space="preserve">протягом трьох робочих днів після прийняття ним рішення письмово повідомляє страховика про відкликання (анулювання) ліцензії (ліцензій) (крім останньої) </w:t>
      </w:r>
      <w:r>
        <w:t xml:space="preserve">на здійснення страхової діяльності </w:t>
      </w:r>
      <w:r>
        <w:rPr>
          <w:iCs/>
          <w:lang w:eastAsia="uk-UA"/>
        </w:rPr>
        <w:t xml:space="preserve">або про відкликання (анулювання) останньої ліцензії (останніх ліцензій) </w:t>
      </w:r>
      <w:r>
        <w:t xml:space="preserve">на здійснення страхової діяльності </w:t>
      </w:r>
      <w:r>
        <w:rPr>
          <w:iCs/>
          <w:lang w:eastAsia="uk-UA"/>
        </w:rPr>
        <w:t>та виключення відомостей про страховика з Реєстру або про відмову в відкликанні (анулюванні) ліцензії (ліцензій)</w:t>
      </w:r>
      <w:r>
        <w:t xml:space="preserve"> на здійснення страхової діяльності</w:t>
      </w:r>
      <w:r>
        <w:rPr>
          <w:iCs/>
          <w:lang w:eastAsia="uk-UA"/>
        </w:rPr>
        <w:t xml:space="preserve"> або про відмову у відкликанні (анулюванні) останньої ліцензії (останніх ліцензій) </w:t>
      </w:r>
      <w:r>
        <w:t xml:space="preserve"> на здійснення страхової діяльності </w:t>
      </w:r>
      <w:r>
        <w:rPr>
          <w:iCs/>
          <w:lang w:eastAsia="uk-UA"/>
        </w:rPr>
        <w:t>та виключенні відомостей про страховика з Реєстру та надсилає копію відповідного рішення</w:t>
      </w:r>
      <w:r>
        <w:rPr>
          <w:iCs/>
        </w:rPr>
        <w:t>;</w:t>
      </w:r>
    </w:p>
    <w:p w14:paraId="4A8E6C2B" w14:textId="77777777" w:rsidR="00731ACC" w:rsidRDefault="00731ACC">
      <w:pPr>
        <w:ind w:firstLine="567"/>
        <w:rPr>
          <w:iCs/>
        </w:rPr>
      </w:pPr>
    </w:p>
    <w:p w14:paraId="54D892EC" w14:textId="0F4D31E7" w:rsidR="00731ACC" w:rsidRDefault="00801D18">
      <w:pPr>
        <w:ind w:firstLine="567"/>
        <w:rPr>
          <w:iCs/>
        </w:rPr>
      </w:pPr>
      <w:r>
        <w:rPr>
          <w:iCs/>
        </w:rPr>
        <w:t>4) у разі прийняття рішення про відкликання (анулювання) останньої ліцензії (останніх ліцензій</w:t>
      </w:r>
      <w:r w:rsidR="003A5F24">
        <w:rPr>
          <w:iCs/>
        </w:rPr>
        <w:t>)</w:t>
      </w:r>
      <w:r>
        <w:t xml:space="preserve"> на здійснення страхової діяльності</w:t>
      </w:r>
      <w:r>
        <w:rPr>
          <w:iCs/>
        </w:rPr>
        <w:t xml:space="preserve"> та виключення відомостей про страховика з Реєстру до письмового повідомлення, передбаченого </w:t>
      </w:r>
      <w:r w:rsidR="00EC7EE9">
        <w:rPr>
          <w:iCs/>
        </w:rPr>
        <w:t xml:space="preserve">в </w:t>
      </w:r>
      <w:r>
        <w:rPr>
          <w:iCs/>
        </w:rPr>
        <w:t>підпункт</w:t>
      </w:r>
      <w:r w:rsidR="00EC7EE9">
        <w:rPr>
          <w:iCs/>
        </w:rPr>
        <w:t>і</w:t>
      </w:r>
      <w:r>
        <w:rPr>
          <w:iCs/>
        </w:rPr>
        <w:t xml:space="preserve"> 3 пункту 18</w:t>
      </w:r>
      <w:r>
        <w:rPr>
          <w:iCs/>
          <w:vertAlign w:val="superscript"/>
        </w:rPr>
        <w:t xml:space="preserve">15 </w:t>
      </w:r>
      <w:r>
        <w:rPr>
          <w:iCs/>
        </w:rPr>
        <w:t xml:space="preserve">цієї постанови, додає витяг з Реєстру за формою, </w:t>
      </w:r>
      <w:r w:rsidR="00624439">
        <w:rPr>
          <w:iCs/>
        </w:rPr>
        <w:t xml:space="preserve">установленою </w:t>
      </w:r>
      <w:r>
        <w:rPr>
          <w:iCs/>
        </w:rPr>
        <w:t>в додатку 22 до Положення про ліцензування та реєстрацію, та протягом трьох робочих днів після прийняття такого рішення розміщує інформацію про прийняте рішення на сторінці офіційного Інтернет-представництва Національного банку.</w:t>
      </w:r>
    </w:p>
    <w:p w14:paraId="138957C1" w14:textId="77777777" w:rsidR="00731ACC" w:rsidRDefault="00731ACC">
      <w:pPr>
        <w:ind w:firstLine="567"/>
        <w:rPr>
          <w:iCs/>
        </w:rPr>
      </w:pPr>
    </w:p>
    <w:p w14:paraId="16F84FCC" w14:textId="1F802C08" w:rsidR="00731ACC" w:rsidRDefault="00801D18">
      <w:pPr>
        <w:ind w:firstLine="567"/>
        <w:rPr>
          <w:iCs/>
        </w:rPr>
      </w:pPr>
      <w:r>
        <w:rPr>
          <w:iCs/>
        </w:rPr>
        <w:t>18</w:t>
      </w:r>
      <w:r>
        <w:rPr>
          <w:iCs/>
          <w:vertAlign w:val="superscript"/>
        </w:rPr>
        <w:t>16</w:t>
      </w:r>
      <w:r>
        <w:rPr>
          <w:iCs/>
        </w:rPr>
        <w:t xml:space="preserve">. </w:t>
      </w:r>
      <w:r>
        <w:t xml:space="preserve">Страховик після прийняття Національним банком рішення про відкликання (анулювання) ліцензії  (ліцензій) (крім останньої) на здійснення страхової діяльності </w:t>
      </w:r>
      <w:r w:rsidR="00EC7EE9">
        <w:t>за</w:t>
      </w:r>
      <w:r>
        <w:t xml:space="preserve"> наявності зобов’язань за укладеними договорами страхування (перестрахування, співстрахування) продовжує виконувати їх до повного виконання</w:t>
      </w:r>
      <w:r>
        <w:rPr>
          <w:iCs/>
        </w:rPr>
        <w:t>.</w:t>
      </w:r>
    </w:p>
    <w:p w14:paraId="4F19FFED" w14:textId="77777777" w:rsidR="00731ACC" w:rsidRDefault="00731ACC">
      <w:pPr>
        <w:ind w:firstLine="567"/>
        <w:rPr>
          <w:iCs/>
        </w:rPr>
      </w:pPr>
    </w:p>
    <w:p w14:paraId="337C177E" w14:textId="77777777" w:rsidR="00731ACC" w:rsidRDefault="00801D18">
      <w:pPr>
        <w:ind w:firstLine="567"/>
        <w:rPr>
          <w:iCs/>
        </w:rPr>
      </w:pPr>
      <w:r>
        <w:rPr>
          <w:iCs/>
        </w:rPr>
        <w:t>18</w:t>
      </w:r>
      <w:r>
        <w:rPr>
          <w:iCs/>
          <w:vertAlign w:val="superscript"/>
        </w:rPr>
        <w:t>17</w:t>
      </w:r>
      <w:r>
        <w:rPr>
          <w:iCs/>
        </w:rPr>
        <w:t xml:space="preserve">. </w:t>
      </w:r>
      <w:r>
        <w:rPr>
          <w:lang w:eastAsia="uk-UA"/>
        </w:rPr>
        <w:t>Страховик після прийняття Національним банком рішення про відкликання (анулювання) ліцензії  (ліцензій) (крім останньої) на здійснення страхової діяльності або про відкликання (анулювання) останньої ліцензії (останніх ліцензій) на здійснення страхової діяльності  та виключення відомостей про страховика із Реєстру, втрачає право</w:t>
      </w:r>
      <w:r>
        <w:rPr>
          <w:iCs/>
        </w:rPr>
        <w:t>:</w:t>
      </w:r>
    </w:p>
    <w:p w14:paraId="3A9E01EF" w14:textId="77777777" w:rsidR="00731ACC" w:rsidRDefault="00731ACC">
      <w:pPr>
        <w:ind w:firstLine="567"/>
        <w:rPr>
          <w:iCs/>
        </w:rPr>
      </w:pPr>
    </w:p>
    <w:p w14:paraId="5ABCFA66" w14:textId="77777777" w:rsidR="00731ACC" w:rsidRDefault="00801D18">
      <w:pPr>
        <w:ind w:firstLine="567"/>
        <w:rPr>
          <w:iCs/>
        </w:rPr>
      </w:pPr>
      <w:r>
        <w:rPr>
          <w:iCs/>
        </w:rPr>
        <w:t xml:space="preserve">1) </w:t>
      </w:r>
      <w:r>
        <w:rPr>
          <w:lang w:eastAsia="uk-UA"/>
        </w:rPr>
        <w:t>укладати нові договори страхування (перестрахування, співстрахування) за видами страхування, ліцензію (ліцензії) на здійснення яких було відкликано (анульовано)</w:t>
      </w:r>
      <w:r>
        <w:rPr>
          <w:iCs/>
        </w:rPr>
        <w:t>;</w:t>
      </w:r>
    </w:p>
    <w:p w14:paraId="1EDF0D53" w14:textId="77777777" w:rsidR="00731ACC" w:rsidRDefault="00731ACC">
      <w:pPr>
        <w:ind w:firstLine="567"/>
        <w:rPr>
          <w:iCs/>
        </w:rPr>
      </w:pPr>
    </w:p>
    <w:p w14:paraId="6E0EDCB3" w14:textId="77777777" w:rsidR="00731ACC" w:rsidRDefault="00801D18">
      <w:pPr>
        <w:ind w:firstLine="567"/>
        <w:rPr>
          <w:iCs/>
        </w:rPr>
      </w:pPr>
      <w:r>
        <w:rPr>
          <w:iCs/>
        </w:rPr>
        <w:t xml:space="preserve">2) </w:t>
      </w:r>
      <w:r>
        <w:rPr>
          <w:lang w:eastAsia="uk-UA"/>
        </w:rPr>
        <w:t>продовжувати строк дії укладених договорів страхування (перестрахування, співстрахування) за видами страхування, ліцензію (ліцензії) на здійснення яких було відкликано (анульовано)</w:t>
      </w:r>
      <w:r>
        <w:rPr>
          <w:iCs/>
        </w:rPr>
        <w:t>;</w:t>
      </w:r>
    </w:p>
    <w:p w14:paraId="4B35BE08" w14:textId="77777777" w:rsidR="00731ACC" w:rsidRDefault="00731ACC">
      <w:pPr>
        <w:ind w:firstLine="567"/>
        <w:rPr>
          <w:iCs/>
        </w:rPr>
      </w:pPr>
    </w:p>
    <w:p w14:paraId="67C80E3F" w14:textId="69B16C42" w:rsidR="00731ACC" w:rsidRDefault="00801D18">
      <w:pPr>
        <w:pStyle w:val="16"/>
        <w:pBdr>
          <w:top w:val="none" w:sz="0" w:space="0" w:color="000000"/>
          <w:left w:val="none" w:sz="0" w:space="0" w:color="000000"/>
          <w:bottom w:val="none" w:sz="0" w:space="0" w:color="000000"/>
          <w:right w:val="none" w:sz="0" w:space="0" w:color="000000"/>
        </w:pBdr>
        <w:ind w:left="0" w:firstLine="567"/>
        <w:rPr>
          <w:shd w:val="clear" w:color="auto" w:fill="FFFFFF"/>
        </w:rPr>
      </w:pPr>
      <w:r>
        <w:rPr>
          <w:iCs/>
        </w:rPr>
        <w:t xml:space="preserve">3) </w:t>
      </w:r>
      <w:r w:rsidR="00F9495D">
        <w:rPr>
          <w:lang w:eastAsia="uk-UA"/>
        </w:rPr>
        <w:t xml:space="preserve">уносити </w:t>
      </w:r>
      <w:r>
        <w:rPr>
          <w:lang w:eastAsia="uk-UA"/>
        </w:rPr>
        <w:t>зміни до укладених договорів страхування (перестрахування, співстрахування) за видами страхування, ліцензію (ліцензії) на здійснення яких було відкликано (анульовано)</w:t>
      </w:r>
      <w:r>
        <w:rPr>
          <w:shd w:val="clear" w:color="auto" w:fill="FFFFFF"/>
        </w:rPr>
        <w:t>.”;</w:t>
      </w:r>
    </w:p>
    <w:p w14:paraId="0637FC9F" w14:textId="4378650F" w:rsidR="0072414E" w:rsidRDefault="0072414E">
      <w:pPr>
        <w:pStyle w:val="16"/>
        <w:pBdr>
          <w:top w:val="none" w:sz="0" w:space="0" w:color="000000"/>
          <w:left w:val="none" w:sz="0" w:space="0" w:color="000000"/>
          <w:bottom w:val="none" w:sz="0" w:space="0" w:color="000000"/>
          <w:right w:val="none" w:sz="0" w:space="0" w:color="000000"/>
        </w:pBdr>
        <w:ind w:left="0" w:firstLine="567"/>
        <w:rPr>
          <w:shd w:val="clear" w:color="auto" w:fill="FFFFFF"/>
        </w:rPr>
      </w:pPr>
    </w:p>
    <w:p w14:paraId="7CC9CCAF" w14:textId="418C854D" w:rsidR="0072414E" w:rsidRPr="00286CE6" w:rsidRDefault="0072414E">
      <w:pPr>
        <w:pStyle w:val="16"/>
        <w:pBdr>
          <w:top w:val="none" w:sz="0" w:space="0" w:color="000000"/>
          <w:left w:val="none" w:sz="0" w:space="0" w:color="000000"/>
          <w:bottom w:val="none" w:sz="0" w:space="0" w:color="000000"/>
          <w:right w:val="none" w:sz="0" w:space="0" w:color="000000"/>
        </w:pBdr>
        <w:ind w:left="0" w:firstLine="567"/>
        <w:rPr>
          <w:shd w:val="clear" w:color="auto" w:fill="FFFFFF"/>
          <w:lang w:val="ru-RU"/>
        </w:rPr>
      </w:pPr>
      <w:r>
        <w:rPr>
          <w:shd w:val="clear" w:color="auto" w:fill="FFFFFF"/>
        </w:rPr>
        <w:t xml:space="preserve">8) абзац перший пункту 19 викласти </w:t>
      </w:r>
      <w:r w:rsidR="00783B6C">
        <w:rPr>
          <w:shd w:val="clear" w:color="auto" w:fill="FFFFFF"/>
        </w:rPr>
        <w:t>в</w:t>
      </w:r>
      <w:r>
        <w:rPr>
          <w:shd w:val="clear" w:color="auto" w:fill="FFFFFF"/>
        </w:rPr>
        <w:t xml:space="preserve"> такій редакції</w:t>
      </w:r>
      <w:r w:rsidRPr="00286CE6">
        <w:rPr>
          <w:shd w:val="clear" w:color="auto" w:fill="FFFFFF"/>
          <w:lang w:val="ru-RU"/>
        </w:rPr>
        <w:t>:</w:t>
      </w:r>
    </w:p>
    <w:p w14:paraId="57F5FA16" w14:textId="750E36F0" w:rsidR="0072414E" w:rsidRPr="00286CE6" w:rsidRDefault="0072414E">
      <w:pPr>
        <w:pStyle w:val="16"/>
        <w:pBdr>
          <w:top w:val="none" w:sz="0" w:space="0" w:color="000000"/>
          <w:left w:val="none" w:sz="0" w:space="0" w:color="000000"/>
          <w:bottom w:val="none" w:sz="0" w:space="0" w:color="000000"/>
          <w:right w:val="none" w:sz="0" w:space="0" w:color="000000"/>
        </w:pBdr>
        <w:ind w:left="0" w:firstLine="567"/>
        <w:rPr>
          <w:shd w:val="clear" w:color="auto" w:fill="FFFFFF"/>
          <w:lang w:val="ru-RU"/>
        </w:rPr>
      </w:pPr>
      <w:r w:rsidRPr="00286CE6">
        <w:rPr>
          <w:shd w:val="clear" w:color="auto" w:fill="FFFFFF"/>
          <w:lang w:val="ru-RU"/>
        </w:rPr>
        <w:t>“</w:t>
      </w:r>
      <w:r w:rsidRPr="005418E8">
        <w:rPr>
          <w:shd w:val="clear" w:color="auto" w:fill="FFFFFF"/>
        </w:rPr>
        <w:t xml:space="preserve">19. </w:t>
      </w:r>
      <w:r w:rsidR="00286CE6" w:rsidRPr="005418E8">
        <w:rPr>
          <w:shd w:val="clear" w:color="auto" w:fill="FFFFFF"/>
        </w:rPr>
        <w:t>Для осіб, визначених у пункт</w:t>
      </w:r>
      <w:r w:rsidR="00286CE6">
        <w:rPr>
          <w:shd w:val="clear" w:color="auto" w:fill="FFFFFF"/>
        </w:rPr>
        <w:t>ах</w:t>
      </w:r>
      <w:r w:rsidR="00286CE6" w:rsidRPr="005418E8">
        <w:rPr>
          <w:shd w:val="clear" w:color="auto" w:fill="FFFFFF"/>
        </w:rPr>
        <w:t xml:space="preserve"> 1 </w:t>
      </w:r>
      <w:r w:rsidR="00286CE6">
        <w:rPr>
          <w:shd w:val="clear" w:color="auto" w:fill="FFFFFF"/>
        </w:rPr>
        <w:t>та 1</w:t>
      </w:r>
      <w:r w:rsidR="00286CE6">
        <w:rPr>
          <w:shd w:val="clear" w:color="auto" w:fill="FFFFFF"/>
          <w:vertAlign w:val="superscript"/>
        </w:rPr>
        <w:t>1</w:t>
      </w:r>
      <w:r w:rsidR="00286CE6">
        <w:rPr>
          <w:shd w:val="clear" w:color="auto" w:fill="FFFFFF"/>
        </w:rPr>
        <w:t xml:space="preserve"> </w:t>
      </w:r>
      <w:r w:rsidR="00286CE6" w:rsidRPr="005418E8">
        <w:rPr>
          <w:shd w:val="clear" w:color="auto" w:fill="FFFFFF"/>
        </w:rPr>
        <w:t>цієї постанови, визначити такі особливості застосування нормативно-правових актів Національного банку, зазначених у додатку до цієї постанови</w:t>
      </w:r>
      <w:r w:rsidR="005418E8" w:rsidRPr="005418E8">
        <w:rPr>
          <w:shd w:val="clear" w:color="auto" w:fill="FFFFFF"/>
        </w:rPr>
        <w:t>:</w:t>
      </w:r>
      <w:r w:rsidRPr="00286CE6">
        <w:rPr>
          <w:shd w:val="clear" w:color="auto" w:fill="FFFFFF"/>
          <w:lang w:val="ru-RU"/>
        </w:rPr>
        <w:t>”</w:t>
      </w:r>
      <w:r w:rsidR="005418E8" w:rsidRPr="00286CE6">
        <w:rPr>
          <w:shd w:val="clear" w:color="auto" w:fill="FFFFFF"/>
          <w:lang w:val="ru-RU"/>
        </w:rPr>
        <w:t>;</w:t>
      </w:r>
    </w:p>
    <w:p w14:paraId="00D782D3" w14:textId="77777777" w:rsidR="00731ACC" w:rsidRDefault="00731ACC">
      <w:pPr>
        <w:pStyle w:val="16"/>
        <w:pBdr>
          <w:top w:val="none" w:sz="0" w:space="0" w:color="000000"/>
          <w:left w:val="none" w:sz="0" w:space="0" w:color="000000"/>
          <w:bottom w:val="none" w:sz="0" w:space="0" w:color="000000"/>
          <w:right w:val="none" w:sz="0" w:space="0" w:color="000000"/>
        </w:pBdr>
        <w:ind w:left="0" w:firstLine="567"/>
        <w:rPr>
          <w:color w:val="000000" w:themeColor="text1"/>
        </w:rPr>
      </w:pPr>
    </w:p>
    <w:p w14:paraId="66C27666" w14:textId="46E2AB12" w:rsidR="00731ACC" w:rsidRDefault="005418E8">
      <w:pPr>
        <w:pStyle w:val="16"/>
        <w:pBdr>
          <w:top w:val="none" w:sz="0" w:space="0" w:color="000000"/>
          <w:left w:val="none" w:sz="0" w:space="0" w:color="000000"/>
          <w:bottom w:val="none" w:sz="0" w:space="0" w:color="000000"/>
          <w:right w:val="none" w:sz="0" w:space="0" w:color="000000"/>
        </w:pBdr>
        <w:ind w:left="0" w:firstLine="567"/>
        <w:rPr>
          <w:color w:val="000000" w:themeColor="text1"/>
        </w:rPr>
      </w:pPr>
      <w:r>
        <w:rPr>
          <w:color w:val="000000" w:themeColor="text1"/>
        </w:rPr>
        <w:t>9</w:t>
      </w:r>
      <w:r w:rsidR="00801D18">
        <w:rPr>
          <w:color w:val="000000" w:themeColor="text1"/>
        </w:rPr>
        <w:t>) постанову після пункту 19</w:t>
      </w:r>
      <w:r w:rsidR="00801D18">
        <w:rPr>
          <w:color w:val="000000" w:themeColor="text1"/>
          <w:vertAlign w:val="superscript"/>
        </w:rPr>
        <w:t>3</w:t>
      </w:r>
      <w:r w:rsidR="00801D18">
        <w:rPr>
          <w:color w:val="000000" w:themeColor="text1"/>
        </w:rPr>
        <w:t xml:space="preserve"> доповнити новим пунктом 19</w:t>
      </w:r>
      <w:r w:rsidR="00801D18">
        <w:rPr>
          <w:color w:val="000000" w:themeColor="text1"/>
          <w:vertAlign w:val="superscript"/>
        </w:rPr>
        <w:t>4</w:t>
      </w:r>
      <w:r w:rsidR="00801D18">
        <w:rPr>
          <w:color w:val="000000" w:themeColor="text1"/>
        </w:rPr>
        <w:t xml:space="preserve"> такого змісту:</w:t>
      </w:r>
    </w:p>
    <w:p w14:paraId="4D45052A" w14:textId="46A441D3" w:rsidR="00731ACC" w:rsidRDefault="00801D18">
      <w:pPr>
        <w:pStyle w:val="16"/>
        <w:pBdr>
          <w:top w:val="none" w:sz="0" w:space="0" w:color="000000"/>
          <w:left w:val="none" w:sz="0" w:space="0" w:color="000000"/>
          <w:bottom w:val="none" w:sz="0" w:space="0" w:color="000000"/>
          <w:right w:val="none" w:sz="0" w:space="0" w:color="000000"/>
        </w:pBdr>
        <w:ind w:left="0" w:firstLine="567"/>
      </w:pPr>
      <w:r>
        <w:rPr>
          <w:color w:val="000000" w:themeColor="text1"/>
        </w:rPr>
        <w:t>“19</w:t>
      </w:r>
      <w:r>
        <w:rPr>
          <w:color w:val="000000" w:themeColor="text1"/>
          <w:vertAlign w:val="superscript"/>
        </w:rPr>
        <w:t>4</w:t>
      </w:r>
      <w:r>
        <w:rPr>
          <w:color w:val="000000" w:themeColor="text1"/>
        </w:rPr>
        <w:t>. С</w:t>
      </w:r>
      <w:r>
        <w:t>уб’єкти первинного фінансового моніторингу, державне регулювання та нагляд за діяльністю яких здійснює Національний банк (крім банків)</w:t>
      </w:r>
      <w:r w:rsidR="00783B6C">
        <w:t>,</w:t>
      </w:r>
      <w:r>
        <w:t xml:space="preserve"> на період воєнного стану та протягом трьох місяців після його припинення чи скасування мають право покладати на особу виконання обов’язків працівника, відповідального за проведення фінансового моніторингу, який був призваний або прийнятий на військову службу до Збройних Сил України, інших утворених відповідно до законів України військових формувань, Служби безпеки України або органів і підрозділів цивільного захисту та територіальної оборони без урахування вимог абзацу першого пункту 84 розділу V Положення про здійснення установами фінансового моніторингу, </w:t>
      </w:r>
      <w:r>
        <w:lastRenderedPageBreak/>
        <w:t>затвердженого постановою Правління Національного банку України від 28</w:t>
      </w:r>
      <w:r w:rsidRPr="00801D18">
        <w:t xml:space="preserve"> </w:t>
      </w:r>
      <w:r>
        <w:t>липня  2020 року № 107 (зі змінами).</w:t>
      </w:r>
      <w:r w:rsidRPr="00801D18">
        <w:rPr>
          <w:lang w:val="ru-RU"/>
        </w:rPr>
        <w:t>”</w:t>
      </w:r>
      <w:r>
        <w:t>;</w:t>
      </w:r>
    </w:p>
    <w:p w14:paraId="6BE406F4" w14:textId="77777777" w:rsidR="00731ACC" w:rsidRDefault="00731ACC">
      <w:pPr>
        <w:pStyle w:val="16"/>
        <w:pBdr>
          <w:top w:val="none" w:sz="0" w:space="0" w:color="000000"/>
          <w:left w:val="none" w:sz="0" w:space="0" w:color="000000"/>
          <w:bottom w:val="none" w:sz="0" w:space="0" w:color="000000"/>
          <w:right w:val="none" w:sz="0" w:space="0" w:color="000000"/>
        </w:pBdr>
        <w:ind w:left="0" w:firstLine="567"/>
        <w:rPr>
          <w:color w:val="000000" w:themeColor="text1"/>
        </w:rPr>
      </w:pPr>
    </w:p>
    <w:p w14:paraId="25EBB1A8" w14:textId="00C9B20D" w:rsidR="00731ACC" w:rsidRDefault="005418E8">
      <w:pPr>
        <w:pStyle w:val="16"/>
        <w:pBdr>
          <w:top w:val="none" w:sz="0" w:space="0" w:color="000000"/>
          <w:left w:val="none" w:sz="0" w:space="0" w:color="000000"/>
          <w:bottom w:val="none" w:sz="0" w:space="0" w:color="000000"/>
          <w:right w:val="none" w:sz="0" w:space="0" w:color="000000"/>
        </w:pBdr>
        <w:ind w:left="0" w:firstLine="567"/>
        <w:rPr>
          <w:color w:val="000000" w:themeColor="text1"/>
        </w:rPr>
      </w:pPr>
      <w:r w:rsidRPr="00911A9C">
        <w:rPr>
          <w:color w:val="000000" w:themeColor="text1"/>
          <w:lang w:val="ru-RU"/>
        </w:rPr>
        <w:t>10</w:t>
      </w:r>
      <w:r w:rsidR="00801D18">
        <w:rPr>
          <w:color w:val="000000" w:themeColor="text1"/>
        </w:rPr>
        <w:t xml:space="preserve">) </w:t>
      </w:r>
      <w:proofErr w:type="gramStart"/>
      <w:r w:rsidR="00801D18">
        <w:rPr>
          <w:color w:val="000000" w:themeColor="text1"/>
        </w:rPr>
        <w:t>абзац</w:t>
      </w:r>
      <w:proofErr w:type="gramEnd"/>
      <w:r w:rsidR="00801D18">
        <w:rPr>
          <w:color w:val="000000" w:themeColor="text1"/>
        </w:rPr>
        <w:t xml:space="preserve"> перший пункту 20 після слів “документів, передбачених” доповнити словами та цифрами “Постановою № 153, Постановою № 177,”;</w:t>
      </w:r>
    </w:p>
    <w:p w14:paraId="5E0B4CFA" w14:textId="77777777" w:rsidR="00731ACC" w:rsidRDefault="00731ACC">
      <w:pPr>
        <w:pStyle w:val="16"/>
        <w:pBdr>
          <w:top w:val="none" w:sz="0" w:space="0" w:color="000000"/>
          <w:left w:val="none" w:sz="0" w:space="0" w:color="000000"/>
          <w:bottom w:val="none" w:sz="0" w:space="0" w:color="000000"/>
          <w:right w:val="none" w:sz="0" w:space="0" w:color="000000"/>
        </w:pBdr>
        <w:ind w:left="0" w:firstLine="567"/>
        <w:rPr>
          <w:color w:val="000000" w:themeColor="text1"/>
        </w:rPr>
      </w:pPr>
    </w:p>
    <w:p w14:paraId="7294EF94" w14:textId="54C04E66" w:rsidR="00731ACC" w:rsidRDefault="005418E8">
      <w:pPr>
        <w:pStyle w:val="16"/>
        <w:pBdr>
          <w:top w:val="none" w:sz="0" w:space="0" w:color="000000"/>
          <w:left w:val="none" w:sz="0" w:space="0" w:color="000000"/>
          <w:bottom w:val="none" w:sz="0" w:space="0" w:color="000000"/>
          <w:right w:val="none" w:sz="0" w:space="0" w:color="000000"/>
        </w:pBdr>
        <w:ind w:left="0" w:firstLine="567"/>
        <w:rPr>
          <w:color w:val="000000" w:themeColor="text1"/>
        </w:rPr>
      </w:pPr>
      <w:r>
        <w:rPr>
          <w:color w:val="000000" w:themeColor="text1"/>
        </w:rPr>
        <w:t>11</w:t>
      </w:r>
      <w:r w:rsidR="00801D18">
        <w:rPr>
          <w:color w:val="000000" w:themeColor="text1"/>
        </w:rPr>
        <w:t>) пункт 20</w:t>
      </w:r>
      <w:r w:rsidR="00801D18">
        <w:rPr>
          <w:color w:val="000000" w:themeColor="text1"/>
          <w:vertAlign w:val="superscript"/>
        </w:rPr>
        <w:t>2</w:t>
      </w:r>
      <w:r w:rsidR="00801D18">
        <w:rPr>
          <w:color w:val="000000" w:themeColor="text1"/>
        </w:rPr>
        <w:t xml:space="preserve">  доповнити трьома новими підпунктами  такого змісту: </w:t>
      </w:r>
    </w:p>
    <w:p w14:paraId="56B7FC06" w14:textId="77777777" w:rsidR="00731ACC" w:rsidRDefault="00801D18">
      <w:pPr>
        <w:pStyle w:val="16"/>
        <w:pBdr>
          <w:top w:val="none" w:sz="0" w:space="0" w:color="000000"/>
          <w:left w:val="none" w:sz="0" w:space="0" w:color="000000"/>
          <w:bottom w:val="none" w:sz="0" w:space="0" w:color="000000"/>
          <w:right w:val="none" w:sz="0" w:space="0" w:color="000000"/>
        </w:pBdr>
        <w:ind w:hanging="153"/>
        <w:rPr>
          <w:color w:val="000000" w:themeColor="text1"/>
        </w:rPr>
      </w:pPr>
      <w:r>
        <w:rPr>
          <w:color w:val="000000" w:themeColor="text1"/>
        </w:rPr>
        <w:t>“18)</w:t>
      </w:r>
      <w:r>
        <w:t xml:space="preserve"> </w:t>
      </w:r>
      <w:r>
        <w:rPr>
          <w:color w:val="000000" w:themeColor="text1"/>
        </w:rPr>
        <w:t xml:space="preserve">державного реєстру страхових та </w:t>
      </w:r>
      <w:proofErr w:type="spellStart"/>
      <w:r>
        <w:rPr>
          <w:color w:val="000000" w:themeColor="text1"/>
        </w:rPr>
        <w:t>перестрахових</w:t>
      </w:r>
      <w:proofErr w:type="spellEnd"/>
      <w:r>
        <w:rPr>
          <w:color w:val="000000" w:themeColor="text1"/>
        </w:rPr>
        <w:t xml:space="preserve"> брокерів;</w:t>
      </w:r>
    </w:p>
    <w:p w14:paraId="6B4C4460" w14:textId="77777777" w:rsidR="00731ACC" w:rsidRDefault="00731ACC">
      <w:pPr>
        <w:pStyle w:val="16"/>
        <w:pBdr>
          <w:top w:val="none" w:sz="0" w:space="0" w:color="000000"/>
          <w:left w:val="none" w:sz="0" w:space="0" w:color="000000"/>
          <w:bottom w:val="none" w:sz="0" w:space="0" w:color="000000"/>
          <w:right w:val="none" w:sz="0" w:space="0" w:color="000000"/>
        </w:pBdr>
        <w:ind w:hanging="153"/>
        <w:rPr>
          <w:color w:val="000000" w:themeColor="text1"/>
        </w:rPr>
      </w:pPr>
    </w:p>
    <w:p w14:paraId="67E7FAAD" w14:textId="77777777" w:rsidR="00731ACC" w:rsidRDefault="00801D18">
      <w:pPr>
        <w:pStyle w:val="16"/>
        <w:pBdr>
          <w:top w:val="none" w:sz="0" w:space="0" w:color="000000"/>
          <w:left w:val="none" w:sz="0" w:space="0" w:color="000000"/>
          <w:bottom w:val="none" w:sz="0" w:space="0" w:color="000000"/>
          <w:right w:val="none" w:sz="0" w:space="0" w:color="000000"/>
        </w:pBdr>
        <w:ind w:hanging="153"/>
        <w:rPr>
          <w:color w:val="000000" w:themeColor="text1"/>
        </w:rPr>
      </w:pPr>
      <w:r>
        <w:rPr>
          <w:color w:val="000000" w:themeColor="text1"/>
        </w:rPr>
        <w:t>19) переліку актуаріїв у сфері страхування;</w:t>
      </w:r>
    </w:p>
    <w:p w14:paraId="4988BCF4" w14:textId="77777777" w:rsidR="00731ACC" w:rsidRDefault="00731ACC">
      <w:pPr>
        <w:pStyle w:val="16"/>
        <w:pBdr>
          <w:top w:val="none" w:sz="0" w:space="0" w:color="000000"/>
          <w:left w:val="none" w:sz="0" w:space="0" w:color="000000"/>
          <w:bottom w:val="none" w:sz="0" w:space="0" w:color="000000"/>
          <w:right w:val="none" w:sz="0" w:space="0" w:color="000000"/>
        </w:pBdr>
        <w:ind w:left="0" w:firstLine="567"/>
        <w:rPr>
          <w:color w:val="000000" w:themeColor="text1"/>
        </w:rPr>
      </w:pPr>
    </w:p>
    <w:p w14:paraId="1DC5AB05" w14:textId="77777777" w:rsidR="00731ACC" w:rsidRDefault="00801D18">
      <w:pPr>
        <w:pStyle w:val="16"/>
        <w:pBdr>
          <w:top w:val="none" w:sz="0" w:space="0" w:color="000000"/>
          <w:left w:val="none" w:sz="0" w:space="0" w:color="000000"/>
          <w:bottom w:val="none" w:sz="0" w:space="0" w:color="000000"/>
          <w:right w:val="none" w:sz="0" w:space="0" w:color="000000"/>
        </w:pBdr>
        <w:ind w:left="0" w:firstLine="567"/>
        <w:rPr>
          <w:color w:val="000000" w:themeColor="text1"/>
        </w:rPr>
      </w:pPr>
      <w:r>
        <w:rPr>
          <w:color w:val="000000" w:themeColor="text1"/>
        </w:rPr>
        <w:t>20) офіційного Інтернет-представництва Національного банку щодо інформації про брокерів-нерезидентів, які письмово повідомили про намір здійснювати діяльність на території України.”;</w:t>
      </w:r>
    </w:p>
    <w:p w14:paraId="433E9224" w14:textId="77777777" w:rsidR="00731ACC" w:rsidRDefault="00731ACC">
      <w:pPr>
        <w:pStyle w:val="16"/>
        <w:pBdr>
          <w:top w:val="none" w:sz="0" w:space="0" w:color="000000"/>
          <w:left w:val="none" w:sz="0" w:space="0" w:color="000000"/>
          <w:bottom w:val="none" w:sz="0" w:space="0" w:color="000000"/>
          <w:right w:val="none" w:sz="0" w:space="0" w:color="000000"/>
        </w:pBdr>
        <w:ind w:left="0" w:firstLine="567"/>
        <w:rPr>
          <w:color w:val="000000" w:themeColor="text1"/>
        </w:rPr>
      </w:pPr>
    </w:p>
    <w:p w14:paraId="5279592D" w14:textId="708C894D" w:rsidR="00731ACC" w:rsidRDefault="00801D18">
      <w:pPr>
        <w:pStyle w:val="16"/>
        <w:pBdr>
          <w:top w:val="none" w:sz="0" w:space="0" w:color="000000"/>
          <w:left w:val="none" w:sz="0" w:space="0" w:color="000000"/>
          <w:bottom w:val="none" w:sz="0" w:space="0" w:color="000000"/>
          <w:right w:val="none" w:sz="0" w:space="0" w:color="000000"/>
        </w:pBdr>
        <w:ind w:left="0" w:firstLine="567"/>
        <w:rPr>
          <w:color w:val="000000" w:themeColor="text1"/>
        </w:rPr>
      </w:pPr>
      <w:r>
        <w:rPr>
          <w:color w:val="000000" w:themeColor="text1"/>
        </w:rPr>
        <w:t>1</w:t>
      </w:r>
      <w:r w:rsidR="005418E8">
        <w:rPr>
          <w:color w:val="000000" w:themeColor="text1"/>
        </w:rPr>
        <w:t>2</w:t>
      </w:r>
      <w:r>
        <w:rPr>
          <w:color w:val="000000" w:themeColor="text1"/>
        </w:rPr>
        <w:t>) абзац перший пунктів 20</w:t>
      </w:r>
      <w:r>
        <w:rPr>
          <w:color w:val="000000" w:themeColor="text1"/>
          <w:vertAlign w:val="superscript"/>
        </w:rPr>
        <w:t>16</w:t>
      </w:r>
      <w:r>
        <w:rPr>
          <w:color w:val="000000" w:themeColor="text1"/>
        </w:rPr>
        <w:t>, 20</w:t>
      </w:r>
      <w:r>
        <w:rPr>
          <w:color w:val="000000" w:themeColor="text1"/>
          <w:vertAlign w:val="superscript"/>
        </w:rPr>
        <w:t xml:space="preserve">17 </w:t>
      </w:r>
      <w:r>
        <w:rPr>
          <w:color w:val="000000" w:themeColor="text1"/>
        </w:rPr>
        <w:t>після слова “Реєстру” доповнити словами “/Реєстру осіб, які не є фінансовими установами, але мають право надавати окремі фінансові послуги”;</w:t>
      </w:r>
    </w:p>
    <w:p w14:paraId="145EF4FB" w14:textId="77777777" w:rsidR="00731ACC" w:rsidRDefault="00731ACC">
      <w:pPr>
        <w:pStyle w:val="16"/>
        <w:pBdr>
          <w:top w:val="none" w:sz="0" w:space="0" w:color="000000"/>
          <w:left w:val="none" w:sz="0" w:space="0" w:color="000000"/>
          <w:bottom w:val="none" w:sz="0" w:space="0" w:color="000000"/>
          <w:right w:val="none" w:sz="0" w:space="0" w:color="000000"/>
        </w:pBdr>
        <w:ind w:left="0" w:firstLine="567"/>
        <w:rPr>
          <w:color w:val="000000" w:themeColor="text1"/>
        </w:rPr>
      </w:pPr>
    </w:p>
    <w:p w14:paraId="1CE43C31" w14:textId="5A7C4A01" w:rsidR="00731ACC" w:rsidRDefault="00801D18">
      <w:pPr>
        <w:pStyle w:val="16"/>
        <w:pBdr>
          <w:top w:val="none" w:sz="0" w:space="0" w:color="000000"/>
          <w:left w:val="none" w:sz="0" w:space="0" w:color="000000"/>
          <w:bottom w:val="none" w:sz="0" w:space="0" w:color="000000"/>
          <w:right w:val="none" w:sz="0" w:space="0" w:color="000000"/>
        </w:pBdr>
        <w:ind w:left="0" w:firstLine="567"/>
        <w:rPr>
          <w:color w:val="000000" w:themeColor="text1"/>
        </w:rPr>
      </w:pPr>
      <w:r>
        <w:rPr>
          <w:color w:val="000000" w:themeColor="text1"/>
        </w:rPr>
        <w:t>1</w:t>
      </w:r>
      <w:r w:rsidR="005418E8">
        <w:rPr>
          <w:color w:val="000000" w:themeColor="text1"/>
        </w:rPr>
        <w:t>3</w:t>
      </w:r>
      <w:r>
        <w:rPr>
          <w:color w:val="000000" w:themeColor="text1"/>
        </w:rPr>
        <w:t>) в абзаці першому</w:t>
      </w:r>
      <w:r w:rsidRPr="00801D18">
        <w:rPr>
          <w:color w:val="000000" w:themeColor="text1"/>
          <w:lang w:val="ru-RU"/>
        </w:rPr>
        <w:t xml:space="preserve"> </w:t>
      </w:r>
      <w:r>
        <w:rPr>
          <w:color w:val="000000" w:themeColor="text1"/>
        </w:rPr>
        <w:t>пункту 20</w:t>
      </w:r>
      <w:r>
        <w:rPr>
          <w:color w:val="000000" w:themeColor="text1"/>
          <w:vertAlign w:val="superscript"/>
        </w:rPr>
        <w:t>18</w:t>
      </w:r>
      <w:r>
        <w:rPr>
          <w:color w:val="000000" w:themeColor="text1"/>
        </w:rPr>
        <w:t>:</w:t>
      </w:r>
    </w:p>
    <w:p w14:paraId="7AE5F29F" w14:textId="77777777" w:rsidR="00731ACC" w:rsidRDefault="00801D18">
      <w:pPr>
        <w:pStyle w:val="16"/>
        <w:pBdr>
          <w:top w:val="none" w:sz="0" w:space="0" w:color="000000"/>
          <w:left w:val="none" w:sz="0" w:space="0" w:color="000000"/>
          <w:bottom w:val="none" w:sz="0" w:space="0" w:color="000000"/>
          <w:right w:val="none" w:sz="0" w:space="0" w:color="000000"/>
        </w:pBdr>
        <w:ind w:left="0" w:firstLine="567"/>
        <w:rPr>
          <w:color w:val="000000" w:themeColor="text1"/>
        </w:rPr>
      </w:pPr>
      <w:r>
        <w:rPr>
          <w:color w:val="000000" w:themeColor="text1"/>
        </w:rPr>
        <w:t>абзац</w:t>
      </w:r>
      <w:r w:rsidRPr="00801D18">
        <w:rPr>
          <w:color w:val="000000" w:themeColor="text1"/>
          <w:lang w:val="ru-RU"/>
        </w:rPr>
        <w:t xml:space="preserve"> </w:t>
      </w:r>
      <w:r>
        <w:rPr>
          <w:color w:val="000000" w:themeColor="text1"/>
        </w:rPr>
        <w:t>після слова “Реєстру” доповнити словами “/Реєстру осіб, які не є фінансовими установами, але мають право надавати окремі фінансові послуги”;</w:t>
      </w:r>
    </w:p>
    <w:p w14:paraId="6299C142" w14:textId="77777777" w:rsidR="00731ACC" w:rsidRPr="00801D18" w:rsidRDefault="00801D18">
      <w:pPr>
        <w:pStyle w:val="16"/>
        <w:pBdr>
          <w:top w:val="none" w:sz="0" w:space="0" w:color="000000"/>
          <w:left w:val="none" w:sz="0" w:space="0" w:color="000000"/>
          <w:bottom w:val="none" w:sz="0" w:space="0" w:color="000000"/>
          <w:right w:val="none" w:sz="0" w:space="0" w:color="000000"/>
        </w:pBdr>
        <w:ind w:left="0" w:firstLine="567"/>
        <w:rPr>
          <w:color w:val="000000" w:themeColor="text1"/>
          <w:lang w:val="ru-RU"/>
        </w:rPr>
      </w:pPr>
      <w:r>
        <w:rPr>
          <w:color w:val="000000" w:themeColor="text1"/>
        </w:rPr>
        <w:t xml:space="preserve">слова </w:t>
      </w:r>
      <w:r w:rsidRPr="00801D18">
        <w:rPr>
          <w:color w:val="000000" w:themeColor="text1"/>
          <w:lang w:val="ru-RU"/>
        </w:rPr>
        <w:t>“</w:t>
      </w:r>
      <w:r>
        <w:t>та регулювання діяльності ринків небанківських фінансових послуг</w:t>
      </w:r>
      <w:r w:rsidRPr="00801D18">
        <w:rPr>
          <w:color w:val="000000" w:themeColor="text1"/>
          <w:lang w:val="ru-RU"/>
        </w:rPr>
        <w:t>”</w:t>
      </w:r>
      <w:r>
        <w:rPr>
          <w:color w:val="000000" w:themeColor="text1"/>
          <w:lang w:val="ru-RU"/>
        </w:rPr>
        <w:t xml:space="preserve"> </w:t>
      </w:r>
      <w:proofErr w:type="spellStart"/>
      <w:r>
        <w:rPr>
          <w:color w:val="000000" w:themeColor="text1"/>
          <w:lang w:val="ru-RU"/>
        </w:rPr>
        <w:t>виключити</w:t>
      </w:r>
      <w:proofErr w:type="spellEnd"/>
      <w:r>
        <w:rPr>
          <w:color w:val="000000" w:themeColor="text1"/>
          <w:lang w:val="ru-RU"/>
        </w:rPr>
        <w:t>;</w:t>
      </w:r>
    </w:p>
    <w:p w14:paraId="3F97F8CA" w14:textId="77777777" w:rsidR="00731ACC" w:rsidRDefault="00731ACC">
      <w:pPr>
        <w:pStyle w:val="16"/>
        <w:pBdr>
          <w:top w:val="none" w:sz="0" w:space="0" w:color="000000"/>
          <w:left w:val="none" w:sz="0" w:space="0" w:color="000000"/>
          <w:bottom w:val="none" w:sz="0" w:space="0" w:color="000000"/>
          <w:right w:val="none" w:sz="0" w:space="0" w:color="000000"/>
        </w:pBdr>
        <w:ind w:left="567"/>
        <w:rPr>
          <w:color w:val="000000" w:themeColor="text1"/>
        </w:rPr>
      </w:pPr>
    </w:p>
    <w:p w14:paraId="443021DE" w14:textId="237591CE" w:rsidR="00731ACC" w:rsidRDefault="00801D18">
      <w:pPr>
        <w:pStyle w:val="16"/>
        <w:pBdr>
          <w:top w:val="none" w:sz="0" w:space="0" w:color="000000"/>
          <w:left w:val="none" w:sz="0" w:space="0" w:color="000000"/>
          <w:bottom w:val="none" w:sz="0" w:space="0" w:color="000000"/>
          <w:right w:val="none" w:sz="0" w:space="0" w:color="000000"/>
        </w:pBdr>
        <w:ind w:left="0" w:firstLine="567"/>
        <w:rPr>
          <w:color w:val="000000" w:themeColor="text1"/>
        </w:rPr>
      </w:pPr>
      <w:r>
        <w:rPr>
          <w:color w:val="000000" w:themeColor="text1"/>
        </w:rPr>
        <w:t>1</w:t>
      </w:r>
      <w:r w:rsidR="005418E8">
        <w:rPr>
          <w:color w:val="000000" w:themeColor="text1"/>
        </w:rPr>
        <w:t>4</w:t>
      </w:r>
      <w:r>
        <w:rPr>
          <w:color w:val="000000" w:themeColor="text1"/>
        </w:rPr>
        <w:t xml:space="preserve">) </w:t>
      </w:r>
      <w:r w:rsidR="00EC7EE9">
        <w:rPr>
          <w:color w:val="000000" w:themeColor="text1"/>
        </w:rPr>
        <w:t xml:space="preserve">додаток  </w:t>
      </w:r>
      <w:r>
        <w:rPr>
          <w:color w:val="000000" w:themeColor="text1"/>
        </w:rPr>
        <w:t xml:space="preserve">до постанови доповнити </w:t>
      </w:r>
      <w:r w:rsidR="00FE4013">
        <w:rPr>
          <w:color w:val="000000" w:themeColor="text1"/>
        </w:rPr>
        <w:t>п</w:t>
      </w:r>
      <w:r w:rsidR="00FE4013" w:rsidRPr="00FE4013">
        <w:rPr>
          <w:color w:val="000000" w:themeColor="text1"/>
          <w:lang w:val="ru-RU"/>
        </w:rPr>
        <w:t>’</w:t>
      </w:r>
      <w:proofErr w:type="spellStart"/>
      <w:r w:rsidR="00FE4013">
        <w:rPr>
          <w:color w:val="000000" w:themeColor="text1"/>
          <w:lang w:val="ru-RU"/>
        </w:rPr>
        <w:t>ятьма</w:t>
      </w:r>
      <w:proofErr w:type="spellEnd"/>
      <w:r>
        <w:rPr>
          <w:color w:val="000000" w:themeColor="text1"/>
        </w:rPr>
        <w:t xml:space="preserve"> новими пунктами такого змісту:</w:t>
      </w:r>
    </w:p>
    <w:p w14:paraId="05901C3E" w14:textId="77777777" w:rsidR="00731ACC" w:rsidRDefault="00801D18">
      <w:pPr>
        <w:ind w:firstLine="567"/>
        <w:rPr>
          <w:color w:val="000000" w:themeColor="text1"/>
        </w:rPr>
      </w:pPr>
      <w:r>
        <w:rPr>
          <w:color w:val="000000" w:themeColor="text1"/>
        </w:rPr>
        <w:t xml:space="preserve">“9. Положення про кваліфікаційні вимоги до осіб, які можуть займатись </w:t>
      </w:r>
      <w:proofErr w:type="spellStart"/>
      <w:r>
        <w:rPr>
          <w:color w:val="000000" w:themeColor="text1"/>
        </w:rPr>
        <w:t>актуарними</w:t>
      </w:r>
      <w:proofErr w:type="spellEnd"/>
      <w:r>
        <w:rPr>
          <w:color w:val="000000" w:themeColor="text1"/>
        </w:rPr>
        <w:t xml:space="preserve"> розрахунками, затверджене постановою Правління Національного банку України від 23 травня 2022 року № 103. </w:t>
      </w:r>
    </w:p>
    <w:p w14:paraId="04981ACB" w14:textId="77777777" w:rsidR="00731ACC" w:rsidRDefault="00731ACC">
      <w:pPr>
        <w:ind w:firstLine="567"/>
        <w:rPr>
          <w:color w:val="000000" w:themeColor="text1"/>
        </w:rPr>
      </w:pPr>
    </w:p>
    <w:p w14:paraId="24DFCCCF" w14:textId="77777777" w:rsidR="00B27D27" w:rsidRDefault="00801D18">
      <w:pPr>
        <w:ind w:firstLine="567"/>
        <w:rPr>
          <w:color w:val="000000" w:themeColor="text1"/>
        </w:rPr>
      </w:pPr>
      <w:r>
        <w:rPr>
          <w:color w:val="000000" w:themeColor="text1"/>
        </w:rPr>
        <w:t xml:space="preserve">10. Положення про реєстрацію страхових та </w:t>
      </w:r>
      <w:proofErr w:type="spellStart"/>
      <w:r>
        <w:rPr>
          <w:color w:val="000000" w:themeColor="text1"/>
        </w:rPr>
        <w:t>перестрахових</w:t>
      </w:r>
      <w:proofErr w:type="spellEnd"/>
      <w:r>
        <w:rPr>
          <w:color w:val="000000" w:themeColor="text1"/>
        </w:rPr>
        <w:t xml:space="preserve"> брокерів та умови провадження посередницької діяльності у сфері страхування, затверджене постановою Правління Національного банку України від 30 червня 2022 року №</w:t>
      </w:r>
      <w:r w:rsidR="00EC7EE9">
        <w:rPr>
          <w:color w:val="000000" w:themeColor="text1"/>
        </w:rPr>
        <w:t> </w:t>
      </w:r>
      <w:r>
        <w:rPr>
          <w:color w:val="000000" w:themeColor="text1"/>
        </w:rPr>
        <w:t>135.</w:t>
      </w:r>
    </w:p>
    <w:p w14:paraId="55BB1482" w14:textId="77777777" w:rsidR="00B27D27" w:rsidRDefault="00B27D27">
      <w:pPr>
        <w:ind w:firstLine="567"/>
        <w:rPr>
          <w:color w:val="000000" w:themeColor="text1"/>
        </w:rPr>
      </w:pPr>
    </w:p>
    <w:p w14:paraId="03A936C1" w14:textId="77777777" w:rsidR="00B27D27" w:rsidRDefault="00B27D27">
      <w:pPr>
        <w:ind w:firstLine="567"/>
        <w:rPr>
          <w:color w:val="000000" w:themeColor="text1"/>
        </w:rPr>
      </w:pPr>
      <w:r>
        <w:rPr>
          <w:color w:val="000000" w:themeColor="text1"/>
        </w:rPr>
        <w:t xml:space="preserve">11. </w:t>
      </w:r>
      <w:r w:rsidRPr="00C235A1">
        <w:rPr>
          <w:color w:val="000000" w:themeColor="text1"/>
        </w:rPr>
        <w:t>Положення про залучення комерційних агентів для надання фінансових платіжних послуг</w:t>
      </w:r>
      <w:r>
        <w:rPr>
          <w:color w:val="000000" w:themeColor="text1"/>
        </w:rPr>
        <w:t>,</w:t>
      </w:r>
      <w:r w:rsidRPr="00C235A1">
        <w:t xml:space="preserve"> </w:t>
      </w:r>
      <w:r w:rsidRPr="00C235A1">
        <w:rPr>
          <w:color w:val="000000" w:themeColor="text1"/>
        </w:rPr>
        <w:t>затверджене постановою Правління Національного банку України від</w:t>
      </w:r>
      <w:r w:rsidRPr="00C235A1">
        <w:t xml:space="preserve"> </w:t>
      </w:r>
      <w:r>
        <w:rPr>
          <w:color w:val="000000" w:themeColor="text1"/>
        </w:rPr>
        <w:t xml:space="preserve">02 серпня </w:t>
      </w:r>
      <w:r w:rsidRPr="00C235A1">
        <w:rPr>
          <w:color w:val="000000" w:themeColor="text1"/>
        </w:rPr>
        <w:t xml:space="preserve">2022 </w:t>
      </w:r>
      <w:r>
        <w:rPr>
          <w:color w:val="000000" w:themeColor="text1"/>
        </w:rPr>
        <w:t>року</w:t>
      </w:r>
      <w:r w:rsidRPr="00C235A1">
        <w:rPr>
          <w:color w:val="000000" w:themeColor="text1"/>
        </w:rPr>
        <w:t xml:space="preserve"> № 168</w:t>
      </w:r>
      <w:r>
        <w:rPr>
          <w:color w:val="000000" w:themeColor="text1"/>
        </w:rPr>
        <w:t>.</w:t>
      </w:r>
    </w:p>
    <w:p w14:paraId="4E82DDDE" w14:textId="77777777" w:rsidR="00B27D27" w:rsidRDefault="00B27D27">
      <w:pPr>
        <w:ind w:firstLine="567"/>
        <w:rPr>
          <w:color w:val="000000" w:themeColor="text1"/>
        </w:rPr>
      </w:pPr>
    </w:p>
    <w:p w14:paraId="7DDD4BB4" w14:textId="77777777" w:rsidR="00B27D27" w:rsidRDefault="00B27D27">
      <w:pPr>
        <w:ind w:firstLine="567"/>
        <w:rPr>
          <w:color w:val="000000" w:themeColor="text1"/>
        </w:rPr>
      </w:pPr>
      <w:r>
        <w:rPr>
          <w:color w:val="000000" w:themeColor="text1"/>
        </w:rPr>
        <w:lastRenderedPageBreak/>
        <w:t xml:space="preserve">12. Положення </w:t>
      </w:r>
      <w:r w:rsidRPr="00C235A1">
        <w:rPr>
          <w:color w:val="000000" w:themeColor="text1"/>
        </w:rPr>
        <w:t>про реєстрацію платіжних сис</w:t>
      </w:r>
      <w:r>
        <w:rPr>
          <w:color w:val="000000" w:themeColor="text1"/>
        </w:rPr>
        <w:t xml:space="preserve">тем, учасників платіжних систем </w:t>
      </w:r>
      <w:r w:rsidRPr="00C235A1">
        <w:rPr>
          <w:color w:val="000000" w:themeColor="text1"/>
        </w:rPr>
        <w:t>та технологічних операторів платіжних послуг</w:t>
      </w:r>
      <w:r>
        <w:rPr>
          <w:color w:val="000000" w:themeColor="text1"/>
        </w:rPr>
        <w:t>,</w:t>
      </w:r>
      <w:r w:rsidRPr="00C235A1">
        <w:t xml:space="preserve"> </w:t>
      </w:r>
      <w:r w:rsidRPr="00C235A1">
        <w:rPr>
          <w:color w:val="000000" w:themeColor="text1"/>
        </w:rPr>
        <w:t>затверджене постановою Правління Національного банку України від 26 вересня 2022 року № 208.</w:t>
      </w:r>
    </w:p>
    <w:p w14:paraId="4246AA4D" w14:textId="77777777" w:rsidR="00B27D27" w:rsidRDefault="00B27D27">
      <w:pPr>
        <w:ind w:firstLine="567"/>
        <w:rPr>
          <w:color w:val="000000" w:themeColor="text1"/>
        </w:rPr>
      </w:pPr>
    </w:p>
    <w:p w14:paraId="5A488DEC" w14:textId="72309C9A" w:rsidR="00731ACC" w:rsidRDefault="00B27D27">
      <w:pPr>
        <w:ind w:firstLine="567"/>
        <w:rPr>
          <w:color w:val="000000" w:themeColor="text1"/>
        </w:rPr>
      </w:pPr>
      <w:r>
        <w:rPr>
          <w:color w:val="000000" w:themeColor="text1"/>
        </w:rPr>
        <w:t xml:space="preserve">13. </w:t>
      </w:r>
      <w:r>
        <w:t>Положення про порядок здійснення авторизації діяльності надавачів фінансових платіжних послуг та обмежених платіжних послуг,</w:t>
      </w:r>
      <w:r w:rsidRPr="00C235A1">
        <w:t xml:space="preserve"> затверджене постановою Правління Національного банку України від 07 жовтня 2022 року №</w:t>
      </w:r>
      <w:r>
        <w:t> </w:t>
      </w:r>
      <w:r w:rsidRPr="00C235A1">
        <w:t>217</w:t>
      </w:r>
      <w:r>
        <w:t>.</w:t>
      </w:r>
      <w:r w:rsidR="00801D18">
        <w:rPr>
          <w:color w:val="000000" w:themeColor="text1"/>
        </w:rPr>
        <w:t>”.</w:t>
      </w:r>
    </w:p>
    <w:p w14:paraId="2C798F12" w14:textId="77777777" w:rsidR="00731ACC" w:rsidRDefault="00731ACC">
      <w:pPr>
        <w:ind w:firstLine="567"/>
        <w:rPr>
          <w:color w:val="000000" w:themeColor="text1"/>
        </w:rPr>
      </w:pPr>
    </w:p>
    <w:p w14:paraId="4E727470" w14:textId="77777777" w:rsidR="00731ACC" w:rsidRDefault="00801D18">
      <w:pPr>
        <w:ind w:firstLine="567"/>
        <w:rPr>
          <w:color w:val="000000" w:themeColor="text1"/>
        </w:rPr>
      </w:pPr>
      <w:r>
        <w:rPr>
          <w:color w:val="000000" w:themeColor="text1"/>
        </w:rPr>
        <w:t>2. Постанова набирає чинності з дня, наступного за днем її офіційного опублікування.</w:t>
      </w:r>
    </w:p>
    <w:p w14:paraId="17E9D0CB" w14:textId="77777777" w:rsidR="00731ACC" w:rsidRDefault="00731ACC">
      <w:pPr>
        <w:pBdr>
          <w:top w:val="none" w:sz="0" w:space="0" w:color="000000"/>
          <w:left w:val="none" w:sz="0" w:space="0" w:color="000000"/>
          <w:bottom w:val="none" w:sz="0" w:space="0" w:color="000000"/>
          <w:right w:val="none" w:sz="0" w:space="0" w:color="000000"/>
          <w:between w:val="none" w:sz="0" w:space="0" w:color="000000"/>
        </w:pBdr>
        <w:spacing w:before="240" w:after="120"/>
        <w:ind w:firstLine="567"/>
        <w:rPr>
          <w:color w:val="000000" w:themeColor="text1"/>
        </w:rPr>
      </w:pPr>
    </w:p>
    <w:p w14:paraId="7FFBC8FE" w14:textId="77777777" w:rsidR="00731ACC" w:rsidRDefault="00731ACC">
      <w:pPr>
        <w:spacing w:after="120"/>
        <w:rPr>
          <w:color w:val="000000" w:themeColor="text1"/>
        </w:rPr>
      </w:pPr>
    </w:p>
    <w:p w14:paraId="795AC2E3" w14:textId="77777777" w:rsidR="00731ACC" w:rsidRDefault="00731ACC">
      <w:pPr>
        <w:spacing w:after="120"/>
        <w:rPr>
          <w:color w:val="000000" w:themeColor="text1"/>
        </w:rPr>
      </w:pPr>
    </w:p>
    <w:tbl>
      <w:tblPr>
        <w:tblStyle w:val="StGen7"/>
        <w:tblW w:w="9639"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5387"/>
        <w:gridCol w:w="4252"/>
      </w:tblGrid>
      <w:tr w:rsidR="00731ACC" w14:paraId="009F65D3" w14:textId="77777777">
        <w:tc>
          <w:tcPr>
            <w:tcW w:w="5387" w:type="dxa"/>
            <w:vAlign w:val="bottom"/>
          </w:tcPr>
          <w:p w14:paraId="29F3802B" w14:textId="77777777" w:rsidR="00731ACC" w:rsidRDefault="00801D18">
            <w:pPr>
              <w:jc w:val="left"/>
              <w:rPr>
                <w:color w:val="000000" w:themeColor="text1"/>
              </w:rPr>
            </w:pPr>
            <w:r>
              <w:rPr>
                <w:color w:val="000000" w:themeColor="text1"/>
              </w:rPr>
              <w:t>Голова</w:t>
            </w:r>
          </w:p>
        </w:tc>
        <w:tc>
          <w:tcPr>
            <w:tcW w:w="4252" w:type="dxa"/>
            <w:vAlign w:val="bottom"/>
          </w:tcPr>
          <w:p w14:paraId="7D88B547" w14:textId="77777777" w:rsidR="00731ACC" w:rsidRDefault="00801D18">
            <w:pPr>
              <w:tabs>
                <w:tab w:val="left" w:pos="7020"/>
                <w:tab w:val="left" w:pos="7200"/>
              </w:tabs>
              <w:ind w:left="32"/>
              <w:jc w:val="right"/>
              <w:rPr>
                <w:color w:val="000000" w:themeColor="text1"/>
              </w:rPr>
            </w:pPr>
            <w:r w:rsidRPr="00801D18">
              <w:rPr>
                <w:color w:val="000000" w:themeColor="text1"/>
              </w:rPr>
              <w:t>Андрій</w:t>
            </w:r>
            <w:r>
              <w:rPr>
                <w:color w:val="000000" w:themeColor="text1"/>
              </w:rPr>
              <w:t xml:space="preserve"> </w:t>
            </w:r>
            <w:r w:rsidRPr="00801D18">
              <w:rPr>
                <w:color w:val="000000" w:themeColor="text1"/>
              </w:rPr>
              <w:t>ПИШНИЙ</w:t>
            </w:r>
          </w:p>
        </w:tc>
      </w:tr>
    </w:tbl>
    <w:p w14:paraId="7E11FB08" w14:textId="77777777" w:rsidR="00731ACC" w:rsidRDefault="00731ACC">
      <w:pPr>
        <w:rPr>
          <w:color w:val="000000" w:themeColor="text1"/>
        </w:rPr>
      </w:pPr>
    </w:p>
    <w:p w14:paraId="12D868A2" w14:textId="77777777" w:rsidR="00731ACC" w:rsidRDefault="00731ACC">
      <w:pPr>
        <w:rPr>
          <w:color w:val="000000" w:themeColor="text1"/>
        </w:rPr>
      </w:pPr>
    </w:p>
    <w:p w14:paraId="1332BE22" w14:textId="77777777" w:rsidR="00731ACC" w:rsidRDefault="00731ACC">
      <w:pPr>
        <w:jc w:val="left"/>
      </w:pPr>
    </w:p>
    <w:p w14:paraId="1CB4E96F" w14:textId="77777777" w:rsidR="00731ACC" w:rsidRDefault="00801D18">
      <w:r>
        <w:t>Інд. 33</w:t>
      </w:r>
    </w:p>
    <w:sectPr w:rsidR="00731ACC">
      <w:headerReference w:type="default" r:id="rId12"/>
      <w:headerReference w:type="first" r:id="rId13"/>
      <w:footerReference w:type="first" r:id="rId14"/>
      <w:pgSz w:w="11906" w:h="16838"/>
      <w:pgMar w:top="851" w:right="567" w:bottom="1701" w:left="1701" w:header="709" w:footer="709" w:gutter="0"/>
      <w:pgNumType w:start="1"/>
      <w:cols w:space="1701"/>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C081A" w16cex:dateUtc="2022-10-20T14:47:00Z"/>
  <w16cex:commentExtensible w16cex:durableId="26FBCFB3" w16cex:dateUtc="2022-10-20T10:46:00Z"/>
  <w16cex:commentExtensible w16cex:durableId="26FBDAFC" w16cex:dateUtc="2022-10-20T1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F27999" w16cid:durableId="26FC081A"/>
  <w16cid:commentId w16cid:paraId="501DC2D4" w16cid:durableId="26FBCFB3"/>
  <w16cid:commentId w16cid:paraId="0030938A" w16cid:durableId="26FBDA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99406" w14:textId="77777777" w:rsidR="0042659E" w:rsidRDefault="0042659E">
      <w:r>
        <w:separator/>
      </w:r>
    </w:p>
  </w:endnote>
  <w:endnote w:type="continuationSeparator" w:id="0">
    <w:p w14:paraId="44A7473E" w14:textId="77777777" w:rsidR="0042659E" w:rsidRDefault="0042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D699D" w14:textId="77777777" w:rsidR="00731ACC" w:rsidRDefault="00801D18">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jc w:val="right"/>
      <w:rPr>
        <w:color w:val="FFFFFF"/>
      </w:rPr>
    </w:pPr>
    <w:r>
      <w:rPr>
        <w:color w:val="FFFFFF"/>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409D6" w14:textId="77777777" w:rsidR="0042659E" w:rsidRDefault="0042659E">
      <w:r>
        <w:separator/>
      </w:r>
    </w:p>
  </w:footnote>
  <w:footnote w:type="continuationSeparator" w:id="0">
    <w:p w14:paraId="148AD602" w14:textId="77777777" w:rsidR="0042659E" w:rsidRDefault="0042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C209" w14:textId="055F61DC" w:rsidR="00731ACC" w:rsidRDefault="00801D18">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302D3C">
      <w:rPr>
        <w:noProof/>
        <w:color w:val="000000"/>
      </w:rPr>
      <w:t>9</w:t>
    </w:r>
    <w:r>
      <w:rPr>
        <w:color w:val="000000"/>
      </w:rPr>
      <w:fldChar w:fldCharType="end"/>
    </w:r>
  </w:p>
  <w:p w14:paraId="34C7D69F" w14:textId="77777777" w:rsidR="00731ACC" w:rsidRDefault="00731ACC">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12B29" w14:textId="77777777" w:rsidR="00801D18" w:rsidRDefault="00801D18">
    <w:pPr>
      <w:pStyle w:val="af0"/>
      <w:jc w:val="center"/>
    </w:pPr>
  </w:p>
  <w:p w14:paraId="6CD1775E" w14:textId="77777777" w:rsidR="00731ACC" w:rsidRDefault="00731AC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00E7"/>
    <w:multiLevelType w:val="hybridMultilevel"/>
    <w:tmpl w:val="F88A7D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3631396"/>
    <w:multiLevelType w:val="multilevel"/>
    <w:tmpl w:val="6363139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7D"/>
    <w:rsid w:val="82EE5DF5"/>
    <w:rsid w:val="99F6DD67"/>
    <w:rsid w:val="9FFAC3EB"/>
    <w:rsid w:val="AABFA827"/>
    <w:rsid w:val="AB3F7ABB"/>
    <w:rsid w:val="AEDF2EB6"/>
    <w:rsid w:val="AF796849"/>
    <w:rsid w:val="B6DE5895"/>
    <w:rsid w:val="BBAB250A"/>
    <w:rsid w:val="BBFF8EC7"/>
    <w:rsid w:val="BCF45F16"/>
    <w:rsid w:val="BDFBA88C"/>
    <w:rsid w:val="BDFFA9A1"/>
    <w:rsid w:val="BFE78268"/>
    <w:rsid w:val="C75FABCB"/>
    <w:rsid w:val="CABF0649"/>
    <w:rsid w:val="CABFB8CD"/>
    <w:rsid w:val="CF9F2599"/>
    <w:rsid w:val="D67CF5DA"/>
    <w:rsid w:val="DE9BD35E"/>
    <w:rsid w:val="DF6DE41F"/>
    <w:rsid w:val="DFEBAD60"/>
    <w:rsid w:val="DFEF0FA8"/>
    <w:rsid w:val="E5FB3EC0"/>
    <w:rsid w:val="E5FFD4EA"/>
    <w:rsid w:val="E74F0137"/>
    <w:rsid w:val="E7F3B622"/>
    <w:rsid w:val="E9BF0E7F"/>
    <w:rsid w:val="E9FF97BC"/>
    <w:rsid w:val="EDF73CD9"/>
    <w:rsid w:val="EF7C050C"/>
    <w:rsid w:val="EFEF781D"/>
    <w:rsid w:val="F3EBDF08"/>
    <w:rsid w:val="F3F6272C"/>
    <w:rsid w:val="F55EA49B"/>
    <w:rsid w:val="F70F04A4"/>
    <w:rsid w:val="F7BFC13D"/>
    <w:rsid w:val="F7FBC741"/>
    <w:rsid w:val="F7FF72AC"/>
    <w:rsid w:val="FAEF2F18"/>
    <w:rsid w:val="FB9EF4F4"/>
    <w:rsid w:val="FBCE6A0D"/>
    <w:rsid w:val="FBD98C06"/>
    <w:rsid w:val="FBFBAA41"/>
    <w:rsid w:val="FD6FDEA2"/>
    <w:rsid w:val="FE7F1FE0"/>
    <w:rsid w:val="FE8F916A"/>
    <w:rsid w:val="FEBB4AC0"/>
    <w:rsid w:val="FEBD6196"/>
    <w:rsid w:val="FEF766A3"/>
    <w:rsid w:val="FFDF3C0A"/>
    <w:rsid w:val="FFFB9012"/>
    <w:rsid w:val="FFFC65F9"/>
    <w:rsid w:val="FFFEAC48"/>
    <w:rsid w:val="FFFFE447"/>
    <w:rsid w:val="00000105"/>
    <w:rsid w:val="00004010"/>
    <w:rsid w:val="00005A7F"/>
    <w:rsid w:val="00007A5C"/>
    <w:rsid w:val="000113A7"/>
    <w:rsid w:val="000161BD"/>
    <w:rsid w:val="00040948"/>
    <w:rsid w:val="00041448"/>
    <w:rsid w:val="000425F4"/>
    <w:rsid w:val="00046D73"/>
    <w:rsid w:val="000504CA"/>
    <w:rsid w:val="00053B13"/>
    <w:rsid w:val="000564CB"/>
    <w:rsid w:val="00057F46"/>
    <w:rsid w:val="0006138A"/>
    <w:rsid w:val="00061F3C"/>
    <w:rsid w:val="00062326"/>
    <w:rsid w:val="00062470"/>
    <w:rsid w:val="000628CC"/>
    <w:rsid w:val="000637C1"/>
    <w:rsid w:val="00066335"/>
    <w:rsid w:val="000712FB"/>
    <w:rsid w:val="00072624"/>
    <w:rsid w:val="00072DAC"/>
    <w:rsid w:val="00080C17"/>
    <w:rsid w:val="000843AE"/>
    <w:rsid w:val="00084989"/>
    <w:rsid w:val="00084AB2"/>
    <w:rsid w:val="00090C5C"/>
    <w:rsid w:val="000933F5"/>
    <w:rsid w:val="000A07E6"/>
    <w:rsid w:val="000A4C6C"/>
    <w:rsid w:val="000A5BE7"/>
    <w:rsid w:val="000B03BF"/>
    <w:rsid w:val="000B2B9F"/>
    <w:rsid w:val="000B33F0"/>
    <w:rsid w:val="000B42F5"/>
    <w:rsid w:val="000B664D"/>
    <w:rsid w:val="000B67C2"/>
    <w:rsid w:val="000D0DFB"/>
    <w:rsid w:val="000D5D30"/>
    <w:rsid w:val="000D5F2D"/>
    <w:rsid w:val="000E6A60"/>
    <w:rsid w:val="000F08EC"/>
    <w:rsid w:val="000F37D4"/>
    <w:rsid w:val="000F52EA"/>
    <w:rsid w:val="000F5F2C"/>
    <w:rsid w:val="00101ED5"/>
    <w:rsid w:val="00105066"/>
    <w:rsid w:val="00114B68"/>
    <w:rsid w:val="00122F46"/>
    <w:rsid w:val="0012333C"/>
    <w:rsid w:val="001265AF"/>
    <w:rsid w:val="001316BA"/>
    <w:rsid w:val="00131A97"/>
    <w:rsid w:val="00131C88"/>
    <w:rsid w:val="001353FC"/>
    <w:rsid w:val="00140457"/>
    <w:rsid w:val="00142237"/>
    <w:rsid w:val="0014265E"/>
    <w:rsid w:val="00146580"/>
    <w:rsid w:val="00151B9C"/>
    <w:rsid w:val="00157564"/>
    <w:rsid w:val="00157DA0"/>
    <w:rsid w:val="00160CAF"/>
    <w:rsid w:val="00162EF3"/>
    <w:rsid w:val="0016426A"/>
    <w:rsid w:val="00170004"/>
    <w:rsid w:val="001773FF"/>
    <w:rsid w:val="00183DF8"/>
    <w:rsid w:val="00186696"/>
    <w:rsid w:val="00187F03"/>
    <w:rsid w:val="001A23E3"/>
    <w:rsid w:val="001A4CC5"/>
    <w:rsid w:val="001A70C2"/>
    <w:rsid w:val="001B1600"/>
    <w:rsid w:val="001B1D91"/>
    <w:rsid w:val="001C2E5E"/>
    <w:rsid w:val="001C2E7D"/>
    <w:rsid w:val="001C44F1"/>
    <w:rsid w:val="001C4F21"/>
    <w:rsid w:val="001C7997"/>
    <w:rsid w:val="001C7DEF"/>
    <w:rsid w:val="001D0727"/>
    <w:rsid w:val="001D5D02"/>
    <w:rsid w:val="001E1D0C"/>
    <w:rsid w:val="001E68A4"/>
    <w:rsid w:val="00201B21"/>
    <w:rsid w:val="00204B42"/>
    <w:rsid w:val="0021269D"/>
    <w:rsid w:val="00216E07"/>
    <w:rsid w:val="00222B3B"/>
    <w:rsid w:val="00236552"/>
    <w:rsid w:val="002427A7"/>
    <w:rsid w:val="00247A6C"/>
    <w:rsid w:val="002508AC"/>
    <w:rsid w:val="00255821"/>
    <w:rsid w:val="00255BB6"/>
    <w:rsid w:val="00257183"/>
    <w:rsid w:val="00265F48"/>
    <w:rsid w:val="0026717F"/>
    <w:rsid w:val="00267C83"/>
    <w:rsid w:val="00271DEA"/>
    <w:rsid w:val="0028296C"/>
    <w:rsid w:val="0028298F"/>
    <w:rsid w:val="00282F11"/>
    <w:rsid w:val="00283918"/>
    <w:rsid w:val="00286048"/>
    <w:rsid w:val="00286CE6"/>
    <w:rsid w:val="00297DB9"/>
    <w:rsid w:val="002A17CE"/>
    <w:rsid w:val="002A4A98"/>
    <w:rsid w:val="002A56A2"/>
    <w:rsid w:val="002A7BA0"/>
    <w:rsid w:val="002B1812"/>
    <w:rsid w:val="002C066E"/>
    <w:rsid w:val="002C4243"/>
    <w:rsid w:val="002D480F"/>
    <w:rsid w:val="002D50B3"/>
    <w:rsid w:val="002E26C2"/>
    <w:rsid w:val="002E2AE5"/>
    <w:rsid w:val="002E3B5E"/>
    <w:rsid w:val="002E3BEB"/>
    <w:rsid w:val="002F09EA"/>
    <w:rsid w:val="002F5D90"/>
    <w:rsid w:val="002F7537"/>
    <w:rsid w:val="00302D3C"/>
    <w:rsid w:val="00303F63"/>
    <w:rsid w:val="003118A8"/>
    <w:rsid w:val="00317FE3"/>
    <w:rsid w:val="00321F3C"/>
    <w:rsid w:val="00324A4D"/>
    <w:rsid w:val="003314B1"/>
    <w:rsid w:val="003360D8"/>
    <w:rsid w:val="0034453E"/>
    <w:rsid w:val="00350C7B"/>
    <w:rsid w:val="00355581"/>
    <w:rsid w:val="0035719C"/>
    <w:rsid w:val="00357921"/>
    <w:rsid w:val="00367593"/>
    <w:rsid w:val="00367C16"/>
    <w:rsid w:val="00373AC4"/>
    <w:rsid w:val="00373FC4"/>
    <w:rsid w:val="00381A0D"/>
    <w:rsid w:val="0038463B"/>
    <w:rsid w:val="003846DC"/>
    <w:rsid w:val="0038714A"/>
    <w:rsid w:val="00390821"/>
    <w:rsid w:val="003A3CB8"/>
    <w:rsid w:val="003A5F24"/>
    <w:rsid w:val="003A6D2C"/>
    <w:rsid w:val="003B0B38"/>
    <w:rsid w:val="003B26B1"/>
    <w:rsid w:val="003C21AB"/>
    <w:rsid w:val="003C3708"/>
    <w:rsid w:val="003C7F61"/>
    <w:rsid w:val="003D700C"/>
    <w:rsid w:val="003F403E"/>
    <w:rsid w:val="003F477A"/>
    <w:rsid w:val="003F51AE"/>
    <w:rsid w:val="003F56BA"/>
    <w:rsid w:val="00406CDE"/>
    <w:rsid w:val="00406F18"/>
    <w:rsid w:val="00410B87"/>
    <w:rsid w:val="00412230"/>
    <w:rsid w:val="004123DB"/>
    <w:rsid w:val="00413F96"/>
    <w:rsid w:val="00422CB5"/>
    <w:rsid w:val="0042572B"/>
    <w:rsid w:val="0042659E"/>
    <w:rsid w:val="00427812"/>
    <w:rsid w:val="004341F4"/>
    <w:rsid w:val="00436D0D"/>
    <w:rsid w:val="004370F3"/>
    <w:rsid w:val="004472F5"/>
    <w:rsid w:val="00450034"/>
    <w:rsid w:val="00450BDA"/>
    <w:rsid w:val="00452540"/>
    <w:rsid w:val="004577E7"/>
    <w:rsid w:val="00460799"/>
    <w:rsid w:val="00466088"/>
    <w:rsid w:val="004716AB"/>
    <w:rsid w:val="00472BE3"/>
    <w:rsid w:val="004836DB"/>
    <w:rsid w:val="00484CCF"/>
    <w:rsid w:val="00491DA9"/>
    <w:rsid w:val="00494851"/>
    <w:rsid w:val="00495B38"/>
    <w:rsid w:val="004A266A"/>
    <w:rsid w:val="004A3878"/>
    <w:rsid w:val="004A5D66"/>
    <w:rsid w:val="004B2D2A"/>
    <w:rsid w:val="004B5AA0"/>
    <w:rsid w:val="004C4641"/>
    <w:rsid w:val="004C4B9C"/>
    <w:rsid w:val="004D0101"/>
    <w:rsid w:val="004D0213"/>
    <w:rsid w:val="004D441A"/>
    <w:rsid w:val="004D5E76"/>
    <w:rsid w:val="004E13E4"/>
    <w:rsid w:val="004F3117"/>
    <w:rsid w:val="005005D2"/>
    <w:rsid w:val="00506545"/>
    <w:rsid w:val="0051229B"/>
    <w:rsid w:val="0051340B"/>
    <w:rsid w:val="00513472"/>
    <w:rsid w:val="005145BB"/>
    <w:rsid w:val="0052239F"/>
    <w:rsid w:val="005226D5"/>
    <w:rsid w:val="00525708"/>
    <w:rsid w:val="00532493"/>
    <w:rsid w:val="00533D5F"/>
    <w:rsid w:val="00537640"/>
    <w:rsid w:val="0053781F"/>
    <w:rsid w:val="005418E8"/>
    <w:rsid w:val="00541EAF"/>
    <w:rsid w:val="00551533"/>
    <w:rsid w:val="00561B59"/>
    <w:rsid w:val="0056348A"/>
    <w:rsid w:val="005705A9"/>
    <w:rsid w:val="0058285F"/>
    <w:rsid w:val="005849DF"/>
    <w:rsid w:val="00587B3D"/>
    <w:rsid w:val="005905C5"/>
    <w:rsid w:val="005920FD"/>
    <w:rsid w:val="00593684"/>
    <w:rsid w:val="00596F04"/>
    <w:rsid w:val="005A01D5"/>
    <w:rsid w:val="005A450C"/>
    <w:rsid w:val="005A59A1"/>
    <w:rsid w:val="005B1E56"/>
    <w:rsid w:val="005B53AF"/>
    <w:rsid w:val="005B5D16"/>
    <w:rsid w:val="005C359E"/>
    <w:rsid w:val="005D4E33"/>
    <w:rsid w:val="005E22BB"/>
    <w:rsid w:val="005E5C77"/>
    <w:rsid w:val="005F0B6F"/>
    <w:rsid w:val="005F3284"/>
    <w:rsid w:val="005F6A1C"/>
    <w:rsid w:val="00601321"/>
    <w:rsid w:val="0061726E"/>
    <w:rsid w:val="00624439"/>
    <w:rsid w:val="00625FB8"/>
    <w:rsid w:val="00634113"/>
    <w:rsid w:val="00647ED0"/>
    <w:rsid w:val="006500CA"/>
    <w:rsid w:val="006524C6"/>
    <w:rsid w:val="00655C41"/>
    <w:rsid w:val="00656287"/>
    <w:rsid w:val="00665C8E"/>
    <w:rsid w:val="0067031D"/>
    <w:rsid w:val="00674A3D"/>
    <w:rsid w:val="006758B3"/>
    <w:rsid w:val="00685DE8"/>
    <w:rsid w:val="0069273D"/>
    <w:rsid w:val="0069274D"/>
    <w:rsid w:val="006A45D9"/>
    <w:rsid w:val="006C0717"/>
    <w:rsid w:val="006C308D"/>
    <w:rsid w:val="006C4482"/>
    <w:rsid w:val="006C5CA2"/>
    <w:rsid w:val="006C7CAE"/>
    <w:rsid w:val="006D1C20"/>
    <w:rsid w:val="006D4C1B"/>
    <w:rsid w:val="006D6301"/>
    <w:rsid w:val="006D76C3"/>
    <w:rsid w:val="006E17FE"/>
    <w:rsid w:val="006E1F28"/>
    <w:rsid w:val="006E20EA"/>
    <w:rsid w:val="006E5BDE"/>
    <w:rsid w:val="006E6508"/>
    <w:rsid w:val="006F167D"/>
    <w:rsid w:val="006F45C6"/>
    <w:rsid w:val="006F6394"/>
    <w:rsid w:val="00700738"/>
    <w:rsid w:val="00705474"/>
    <w:rsid w:val="00706A4C"/>
    <w:rsid w:val="0071448E"/>
    <w:rsid w:val="00720A23"/>
    <w:rsid w:val="0072414E"/>
    <w:rsid w:val="00731ACC"/>
    <w:rsid w:val="00733CED"/>
    <w:rsid w:val="00737A26"/>
    <w:rsid w:val="00744358"/>
    <w:rsid w:val="0074580E"/>
    <w:rsid w:val="00747451"/>
    <w:rsid w:val="00750D94"/>
    <w:rsid w:val="007571EF"/>
    <w:rsid w:val="007572AA"/>
    <w:rsid w:val="00760C19"/>
    <w:rsid w:val="00764BA7"/>
    <w:rsid w:val="007668B0"/>
    <w:rsid w:val="00770229"/>
    <w:rsid w:val="00773FE0"/>
    <w:rsid w:val="00782A78"/>
    <w:rsid w:val="00783776"/>
    <w:rsid w:val="00783B6C"/>
    <w:rsid w:val="00785D43"/>
    <w:rsid w:val="007876D0"/>
    <w:rsid w:val="007A0D93"/>
    <w:rsid w:val="007A12FB"/>
    <w:rsid w:val="007A57A1"/>
    <w:rsid w:val="007B3DDB"/>
    <w:rsid w:val="007C1971"/>
    <w:rsid w:val="007C1CA6"/>
    <w:rsid w:val="007C4151"/>
    <w:rsid w:val="007C41DC"/>
    <w:rsid w:val="007C558A"/>
    <w:rsid w:val="007C58E5"/>
    <w:rsid w:val="007D42DA"/>
    <w:rsid w:val="007D7C24"/>
    <w:rsid w:val="007D7F45"/>
    <w:rsid w:val="007E2D6C"/>
    <w:rsid w:val="007E3357"/>
    <w:rsid w:val="007E3B88"/>
    <w:rsid w:val="007F033E"/>
    <w:rsid w:val="007F1189"/>
    <w:rsid w:val="007F696C"/>
    <w:rsid w:val="007F7DE9"/>
    <w:rsid w:val="00801D18"/>
    <w:rsid w:val="00802438"/>
    <w:rsid w:val="00804265"/>
    <w:rsid w:val="008054B7"/>
    <w:rsid w:val="00807437"/>
    <w:rsid w:val="008100CF"/>
    <w:rsid w:val="00811D24"/>
    <w:rsid w:val="00820702"/>
    <w:rsid w:val="00825E51"/>
    <w:rsid w:val="0082675B"/>
    <w:rsid w:val="00830295"/>
    <w:rsid w:val="008335DB"/>
    <w:rsid w:val="00835B8B"/>
    <w:rsid w:val="00843A22"/>
    <w:rsid w:val="00855DEC"/>
    <w:rsid w:val="00857EC7"/>
    <w:rsid w:val="00863765"/>
    <w:rsid w:val="00865304"/>
    <w:rsid w:val="00867E4A"/>
    <w:rsid w:val="00870563"/>
    <w:rsid w:val="0087474E"/>
    <w:rsid w:val="008806C6"/>
    <w:rsid w:val="00890323"/>
    <w:rsid w:val="008903C7"/>
    <w:rsid w:val="00895AF7"/>
    <w:rsid w:val="008976B2"/>
    <w:rsid w:val="008A78B2"/>
    <w:rsid w:val="008B28AC"/>
    <w:rsid w:val="008B355F"/>
    <w:rsid w:val="008B780F"/>
    <w:rsid w:val="008B7857"/>
    <w:rsid w:val="008C0F26"/>
    <w:rsid w:val="008C1E5E"/>
    <w:rsid w:val="008D0DE0"/>
    <w:rsid w:val="008D3DBD"/>
    <w:rsid w:val="008E0177"/>
    <w:rsid w:val="008E0330"/>
    <w:rsid w:val="008F0411"/>
    <w:rsid w:val="008F27F0"/>
    <w:rsid w:val="008F5F80"/>
    <w:rsid w:val="008F77CD"/>
    <w:rsid w:val="00911A9C"/>
    <w:rsid w:val="009138FA"/>
    <w:rsid w:val="00913B9B"/>
    <w:rsid w:val="00915335"/>
    <w:rsid w:val="0092388B"/>
    <w:rsid w:val="00926D01"/>
    <w:rsid w:val="00934082"/>
    <w:rsid w:val="00935C93"/>
    <w:rsid w:val="009360C6"/>
    <w:rsid w:val="009455A4"/>
    <w:rsid w:val="00946D3D"/>
    <w:rsid w:val="00954C4A"/>
    <w:rsid w:val="00962E2C"/>
    <w:rsid w:val="00982565"/>
    <w:rsid w:val="00984619"/>
    <w:rsid w:val="009877B2"/>
    <w:rsid w:val="0099136C"/>
    <w:rsid w:val="00996BE1"/>
    <w:rsid w:val="009B018E"/>
    <w:rsid w:val="009B0A9C"/>
    <w:rsid w:val="009B2CF0"/>
    <w:rsid w:val="009B5A5E"/>
    <w:rsid w:val="009B65B7"/>
    <w:rsid w:val="009C5B88"/>
    <w:rsid w:val="009C6EDE"/>
    <w:rsid w:val="009D34AA"/>
    <w:rsid w:val="009D6D1F"/>
    <w:rsid w:val="009E1958"/>
    <w:rsid w:val="009E7C8B"/>
    <w:rsid w:val="009F31AA"/>
    <w:rsid w:val="009F6D16"/>
    <w:rsid w:val="009F6DAC"/>
    <w:rsid w:val="009F6E40"/>
    <w:rsid w:val="00A03040"/>
    <w:rsid w:val="00A06D34"/>
    <w:rsid w:val="00A07521"/>
    <w:rsid w:val="00A10223"/>
    <w:rsid w:val="00A134DF"/>
    <w:rsid w:val="00A26DB4"/>
    <w:rsid w:val="00A27102"/>
    <w:rsid w:val="00A330EB"/>
    <w:rsid w:val="00A34CEA"/>
    <w:rsid w:val="00A41C53"/>
    <w:rsid w:val="00A52C50"/>
    <w:rsid w:val="00A628C9"/>
    <w:rsid w:val="00A6721E"/>
    <w:rsid w:val="00A672BF"/>
    <w:rsid w:val="00A6739C"/>
    <w:rsid w:val="00A74A8C"/>
    <w:rsid w:val="00A80E19"/>
    <w:rsid w:val="00A8398D"/>
    <w:rsid w:val="00A851CF"/>
    <w:rsid w:val="00A86337"/>
    <w:rsid w:val="00AA0769"/>
    <w:rsid w:val="00AA4E8D"/>
    <w:rsid w:val="00AB2FE3"/>
    <w:rsid w:val="00AB3163"/>
    <w:rsid w:val="00AB52C4"/>
    <w:rsid w:val="00AB6592"/>
    <w:rsid w:val="00AC1082"/>
    <w:rsid w:val="00AC3CC0"/>
    <w:rsid w:val="00AC6972"/>
    <w:rsid w:val="00AD2337"/>
    <w:rsid w:val="00AD2921"/>
    <w:rsid w:val="00AD5AD5"/>
    <w:rsid w:val="00B03D1F"/>
    <w:rsid w:val="00B0737C"/>
    <w:rsid w:val="00B10AB5"/>
    <w:rsid w:val="00B11FD8"/>
    <w:rsid w:val="00B13F0B"/>
    <w:rsid w:val="00B170EB"/>
    <w:rsid w:val="00B22209"/>
    <w:rsid w:val="00B232C3"/>
    <w:rsid w:val="00B24E43"/>
    <w:rsid w:val="00B2564F"/>
    <w:rsid w:val="00B25940"/>
    <w:rsid w:val="00B27D27"/>
    <w:rsid w:val="00B35CA2"/>
    <w:rsid w:val="00B37AAD"/>
    <w:rsid w:val="00B41164"/>
    <w:rsid w:val="00B42136"/>
    <w:rsid w:val="00B5228A"/>
    <w:rsid w:val="00B54070"/>
    <w:rsid w:val="00B6164C"/>
    <w:rsid w:val="00B670D6"/>
    <w:rsid w:val="00B70A69"/>
    <w:rsid w:val="00B820A4"/>
    <w:rsid w:val="00B83E0F"/>
    <w:rsid w:val="00B967E1"/>
    <w:rsid w:val="00BA2B90"/>
    <w:rsid w:val="00BB6493"/>
    <w:rsid w:val="00BD0870"/>
    <w:rsid w:val="00BD1AC0"/>
    <w:rsid w:val="00BD3111"/>
    <w:rsid w:val="00BD48B6"/>
    <w:rsid w:val="00BE4DB2"/>
    <w:rsid w:val="00BE54C0"/>
    <w:rsid w:val="00BF4A91"/>
    <w:rsid w:val="00BF66F6"/>
    <w:rsid w:val="00C0210B"/>
    <w:rsid w:val="00C028F3"/>
    <w:rsid w:val="00C03489"/>
    <w:rsid w:val="00C0544E"/>
    <w:rsid w:val="00C05801"/>
    <w:rsid w:val="00C1140B"/>
    <w:rsid w:val="00C14526"/>
    <w:rsid w:val="00C2038A"/>
    <w:rsid w:val="00C22CD8"/>
    <w:rsid w:val="00C26030"/>
    <w:rsid w:val="00C36D72"/>
    <w:rsid w:val="00C40EA5"/>
    <w:rsid w:val="00C410BC"/>
    <w:rsid w:val="00C4558E"/>
    <w:rsid w:val="00C45CDF"/>
    <w:rsid w:val="00C46180"/>
    <w:rsid w:val="00C574AD"/>
    <w:rsid w:val="00C62169"/>
    <w:rsid w:val="00C67880"/>
    <w:rsid w:val="00C75899"/>
    <w:rsid w:val="00C76A6F"/>
    <w:rsid w:val="00C85EE1"/>
    <w:rsid w:val="00C9026D"/>
    <w:rsid w:val="00C93C1C"/>
    <w:rsid w:val="00C94059"/>
    <w:rsid w:val="00C96E7F"/>
    <w:rsid w:val="00CB351F"/>
    <w:rsid w:val="00CB639E"/>
    <w:rsid w:val="00CB7677"/>
    <w:rsid w:val="00CC5538"/>
    <w:rsid w:val="00CC7F2A"/>
    <w:rsid w:val="00CD04D5"/>
    <w:rsid w:val="00CD38E2"/>
    <w:rsid w:val="00CE061C"/>
    <w:rsid w:val="00CF2D3B"/>
    <w:rsid w:val="00CF5F9E"/>
    <w:rsid w:val="00CF6F28"/>
    <w:rsid w:val="00CF7A48"/>
    <w:rsid w:val="00D0115A"/>
    <w:rsid w:val="00D07326"/>
    <w:rsid w:val="00D138AB"/>
    <w:rsid w:val="00D1475C"/>
    <w:rsid w:val="00D14E6B"/>
    <w:rsid w:val="00D22E73"/>
    <w:rsid w:val="00D33CC4"/>
    <w:rsid w:val="00D357B1"/>
    <w:rsid w:val="00D361CB"/>
    <w:rsid w:val="00D36498"/>
    <w:rsid w:val="00D51A78"/>
    <w:rsid w:val="00D56B64"/>
    <w:rsid w:val="00D672AF"/>
    <w:rsid w:val="00D67EB7"/>
    <w:rsid w:val="00D722A8"/>
    <w:rsid w:val="00D7425B"/>
    <w:rsid w:val="00D76145"/>
    <w:rsid w:val="00D84548"/>
    <w:rsid w:val="00D84D0F"/>
    <w:rsid w:val="00D97E43"/>
    <w:rsid w:val="00DA6E9C"/>
    <w:rsid w:val="00DA7B0B"/>
    <w:rsid w:val="00DA7E15"/>
    <w:rsid w:val="00DB3703"/>
    <w:rsid w:val="00DB3D73"/>
    <w:rsid w:val="00DB41EC"/>
    <w:rsid w:val="00DC756D"/>
    <w:rsid w:val="00DC797E"/>
    <w:rsid w:val="00DC7D40"/>
    <w:rsid w:val="00DD029C"/>
    <w:rsid w:val="00DD51DD"/>
    <w:rsid w:val="00DD750A"/>
    <w:rsid w:val="00DE0E5F"/>
    <w:rsid w:val="00DF38C1"/>
    <w:rsid w:val="00DF45F0"/>
    <w:rsid w:val="00DF6A6A"/>
    <w:rsid w:val="00E007C7"/>
    <w:rsid w:val="00E1092D"/>
    <w:rsid w:val="00E13C58"/>
    <w:rsid w:val="00E146ED"/>
    <w:rsid w:val="00E14D22"/>
    <w:rsid w:val="00E32F2C"/>
    <w:rsid w:val="00E33D07"/>
    <w:rsid w:val="00E34BD8"/>
    <w:rsid w:val="00E43B2A"/>
    <w:rsid w:val="00E469F4"/>
    <w:rsid w:val="00E47374"/>
    <w:rsid w:val="00E506AB"/>
    <w:rsid w:val="00E54C9A"/>
    <w:rsid w:val="00E57A82"/>
    <w:rsid w:val="00E62794"/>
    <w:rsid w:val="00E72788"/>
    <w:rsid w:val="00E740A0"/>
    <w:rsid w:val="00E84C37"/>
    <w:rsid w:val="00E87565"/>
    <w:rsid w:val="00E9212D"/>
    <w:rsid w:val="00E92687"/>
    <w:rsid w:val="00E97212"/>
    <w:rsid w:val="00EA0D01"/>
    <w:rsid w:val="00EA2565"/>
    <w:rsid w:val="00EB7DC4"/>
    <w:rsid w:val="00EC2667"/>
    <w:rsid w:val="00EC2800"/>
    <w:rsid w:val="00EC307A"/>
    <w:rsid w:val="00EC4F7D"/>
    <w:rsid w:val="00EC5F2B"/>
    <w:rsid w:val="00EC63B6"/>
    <w:rsid w:val="00EC7EE9"/>
    <w:rsid w:val="00EE05A6"/>
    <w:rsid w:val="00EE5DD8"/>
    <w:rsid w:val="00EF01AD"/>
    <w:rsid w:val="00EF0A91"/>
    <w:rsid w:val="00EF3D94"/>
    <w:rsid w:val="00EF4228"/>
    <w:rsid w:val="00EF5EF2"/>
    <w:rsid w:val="00F0047C"/>
    <w:rsid w:val="00F02B23"/>
    <w:rsid w:val="00F05552"/>
    <w:rsid w:val="00F066A1"/>
    <w:rsid w:val="00F163EB"/>
    <w:rsid w:val="00F16C50"/>
    <w:rsid w:val="00F27CA7"/>
    <w:rsid w:val="00F32B67"/>
    <w:rsid w:val="00F47604"/>
    <w:rsid w:val="00F51DCC"/>
    <w:rsid w:val="00F525DC"/>
    <w:rsid w:val="00F57090"/>
    <w:rsid w:val="00F57580"/>
    <w:rsid w:val="00F7177B"/>
    <w:rsid w:val="00F74D20"/>
    <w:rsid w:val="00F77A2B"/>
    <w:rsid w:val="00F77A53"/>
    <w:rsid w:val="00F9495D"/>
    <w:rsid w:val="00FA0425"/>
    <w:rsid w:val="00FA20DE"/>
    <w:rsid w:val="00FA4746"/>
    <w:rsid w:val="00FB137E"/>
    <w:rsid w:val="00FB22A1"/>
    <w:rsid w:val="00FE4013"/>
    <w:rsid w:val="00FF37AF"/>
    <w:rsid w:val="11FEAAB0"/>
    <w:rsid w:val="12CB02E9"/>
    <w:rsid w:val="12FEF3C9"/>
    <w:rsid w:val="1BD7F243"/>
    <w:rsid w:val="1C7F76E6"/>
    <w:rsid w:val="27FBD4A7"/>
    <w:rsid w:val="33EF0A1D"/>
    <w:rsid w:val="35DED7D2"/>
    <w:rsid w:val="36EFB0F6"/>
    <w:rsid w:val="379F73B0"/>
    <w:rsid w:val="37E71335"/>
    <w:rsid w:val="37FB40B1"/>
    <w:rsid w:val="3BD5016F"/>
    <w:rsid w:val="3CFFDF1E"/>
    <w:rsid w:val="3D6F01D4"/>
    <w:rsid w:val="3D899492"/>
    <w:rsid w:val="3DB3694C"/>
    <w:rsid w:val="3F162265"/>
    <w:rsid w:val="3FED4B3F"/>
    <w:rsid w:val="477C23A0"/>
    <w:rsid w:val="4FFBBE8D"/>
    <w:rsid w:val="596E394E"/>
    <w:rsid w:val="5DAED800"/>
    <w:rsid w:val="5DD9E4DC"/>
    <w:rsid w:val="5EFD8CAE"/>
    <w:rsid w:val="5F36BCF4"/>
    <w:rsid w:val="5FEF6793"/>
    <w:rsid w:val="5FF1D177"/>
    <w:rsid w:val="5FFFB2A7"/>
    <w:rsid w:val="5FFFEB41"/>
    <w:rsid w:val="637FB220"/>
    <w:rsid w:val="672CDD5E"/>
    <w:rsid w:val="6DBFA485"/>
    <w:rsid w:val="6E79C429"/>
    <w:rsid w:val="6EFB9472"/>
    <w:rsid w:val="73FFCE0F"/>
    <w:rsid w:val="74EED641"/>
    <w:rsid w:val="75B6ACEE"/>
    <w:rsid w:val="75BE38B9"/>
    <w:rsid w:val="79F9DACA"/>
    <w:rsid w:val="7BEF1BB6"/>
    <w:rsid w:val="7BF00E8F"/>
    <w:rsid w:val="7BFF5A31"/>
    <w:rsid w:val="7CEF6A49"/>
    <w:rsid w:val="7D766892"/>
    <w:rsid w:val="7D9D86BF"/>
    <w:rsid w:val="7DACCDB0"/>
    <w:rsid w:val="7DBFFB63"/>
    <w:rsid w:val="7DCE720F"/>
    <w:rsid w:val="7E6C03DC"/>
    <w:rsid w:val="7F97F3F1"/>
    <w:rsid w:val="7F9FB958"/>
    <w:rsid w:val="7FD9EC75"/>
    <w:rsid w:val="7FF70E8C"/>
    <w:rsid w:val="7FFF1736"/>
    <w:rsid w:val="7FFFD449"/>
    <w:rsid w:val="7FFFE8CF"/>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46F22"/>
  <w15:docId w15:val="{F8DBD951-4CEC-4EC7-9298-F822CF8E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both"/>
    </w:pPr>
    <w:rPr>
      <w:rFonts w:eastAsia="Times New Roman"/>
      <w:sz w:val="28"/>
      <w:szCs w:val="28"/>
      <w:lang w:eastAsia="zh-CN"/>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rFonts w:ascii="Segoe UI" w:hAnsi="Segoe UI" w:cs="Segoe UI"/>
      <w:sz w:val="18"/>
      <w:szCs w:val="18"/>
    </w:rPr>
  </w:style>
  <w:style w:type="paragraph" w:styleId="a5">
    <w:name w:val="caption"/>
    <w:basedOn w:val="a"/>
    <w:next w:val="a"/>
    <w:uiPriority w:val="35"/>
    <w:unhideWhenUsed/>
    <w:qFormat/>
    <w:pPr>
      <w:spacing w:line="276" w:lineRule="auto"/>
    </w:pPr>
    <w:rPr>
      <w:b/>
      <w:bCs/>
      <w:color w:val="5B9BD5" w:themeColor="accent1"/>
      <w:sz w:val="18"/>
      <w:szCs w:val="18"/>
    </w:rPr>
  </w:style>
  <w:style w:type="paragraph" w:styleId="a6">
    <w:name w:val="annotation text"/>
    <w:basedOn w:val="a"/>
    <w:link w:val="a7"/>
    <w:uiPriority w:val="99"/>
    <w:unhideWhenUsed/>
    <w:qFormat/>
    <w:rPr>
      <w:sz w:val="20"/>
      <w:szCs w:val="20"/>
    </w:rPr>
  </w:style>
  <w:style w:type="paragraph" w:styleId="a8">
    <w:name w:val="annotation subject"/>
    <w:basedOn w:val="a6"/>
    <w:next w:val="a6"/>
    <w:link w:val="a9"/>
    <w:uiPriority w:val="99"/>
    <w:unhideWhenUsed/>
    <w:qFormat/>
    <w:rPr>
      <w:b/>
      <w:bCs/>
    </w:rPr>
  </w:style>
  <w:style w:type="paragraph" w:styleId="aa">
    <w:name w:val="endnote text"/>
    <w:basedOn w:val="a"/>
    <w:link w:val="ab"/>
    <w:uiPriority w:val="99"/>
    <w:unhideWhenUsed/>
    <w:qFormat/>
    <w:rPr>
      <w:sz w:val="20"/>
    </w:rPr>
  </w:style>
  <w:style w:type="paragraph" w:styleId="ac">
    <w:name w:val="footer"/>
    <w:basedOn w:val="a"/>
    <w:link w:val="ad"/>
    <w:uiPriority w:val="99"/>
    <w:unhideWhenUsed/>
    <w:qFormat/>
    <w:pPr>
      <w:tabs>
        <w:tab w:val="center" w:pos="7143"/>
        <w:tab w:val="right" w:pos="14287"/>
      </w:tabs>
    </w:pPr>
  </w:style>
  <w:style w:type="paragraph" w:styleId="ae">
    <w:name w:val="footnote text"/>
    <w:basedOn w:val="a"/>
    <w:link w:val="af"/>
    <w:uiPriority w:val="99"/>
    <w:unhideWhenUsed/>
    <w:qFormat/>
    <w:pPr>
      <w:spacing w:after="40"/>
    </w:pPr>
    <w:rPr>
      <w:sz w:val="18"/>
    </w:rPr>
  </w:style>
  <w:style w:type="paragraph" w:styleId="af0">
    <w:name w:val="header"/>
    <w:basedOn w:val="a"/>
    <w:link w:val="af1"/>
    <w:uiPriority w:val="99"/>
    <w:unhideWhenUsed/>
    <w:qFormat/>
    <w:pPr>
      <w:tabs>
        <w:tab w:val="center" w:pos="7143"/>
        <w:tab w:val="right" w:pos="14287"/>
      </w:tabs>
    </w:pPr>
  </w:style>
  <w:style w:type="paragraph" w:styleId="af2">
    <w:name w:val="Subtitle"/>
    <w:basedOn w:val="a"/>
    <w:next w:val="a"/>
    <w:link w:val="af3"/>
    <w:uiPriority w:val="11"/>
    <w:qFormat/>
    <w:pPr>
      <w:spacing w:before="200" w:after="200"/>
    </w:pPr>
    <w:rPr>
      <w:sz w:val="24"/>
      <w:szCs w:val="24"/>
    </w:rPr>
  </w:style>
  <w:style w:type="paragraph" w:styleId="af4">
    <w:name w:val="table of figures"/>
    <w:basedOn w:val="a"/>
    <w:next w:val="a"/>
    <w:uiPriority w:val="99"/>
    <w:unhideWhenUsed/>
    <w:qFormat/>
  </w:style>
  <w:style w:type="paragraph" w:styleId="af5">
    <w:name w:val="Title"/>
    <w:basedOn w:val="a"/>
    <w:next w:val="a"/>
    <w:link w:val="af6"/>
    <w:uiPriority w:val="10"/>
    <w:qFormat/>
    <w:pPr>
      <w:spacing w:before="300" w:after="200"/>
      <w:contextualSpacing/>
    </w:pPr>
    <w:rPr>
      <w:sz w:val="48"/>
      <w:szCs w:val="48"/>
    </w:rPr>
  </w:style>
  <w:style w:type="paragraph" w:styleId="11">
    <w:name w:val="toc 1"/>
    <w:basedOn w:val="a"/>
    <w:next w:val="a"/>
    <w:uiPriority w:val="39"/>
    <w:unhideWhenUsed/>
    <w:qFormat/>
    <w:pPr>
      <w:spacing w:after="57"/>
    </w:pPr>
  </w:style>
  <w:style w:type="paragraph" w:styleId="21">
    <w:name w:val="toc 2"/>
    <w:basedOn w:val="a"/>
    <w:next w:val="a"/>
    <w:uiPriority w:val="39"/>
    <w:unhideWhenUsed/>
    <w:qFormat/>
    <w:pPr>
      <w:spacing w:after="57"/>
      <w:ind w:left="283"/>
    </w:pPr>
  </w:style>
  <w:style w:type="paragraph" w:styleId="31">
    <w:name w:val="toc 3"/>
    <w:basedOn w:val="a"/>
    <w:next w:val="a"/>
    <w:uiPriority w:val="39"/>
    <w:unhideWhenUsed/>
    <w:qFormat/>
    <w:pPr>
      <w:spacing w:after="57"/>
      <w:ind w:left="567"/>
    </w:pPr>
  </w:style>
  <w:style w:type="paragraph" w:styleId="41">
    <w:name w:val="toc 4"/>
    <w:basedOn w:val="a"/>
    <w:next w:val="a"/>
    <w:uiPriority w:val="39"/>
    <w:unhideWhenUsed/>
    <w:qFormat/>
    <w:pPr>
      <w:spacing w:after="57"/>
      <w:ind w:left="850"/>
    </w:pPr>
  </w:style>
  <w:style w:type="paragraph" w:styleId="51">
    <w:name w:val="toc 5"/>
    <w:basedOn w:val="a"/>
    <w:next w:val="a"/>
    <w:uiPriority w:val="39"/>
    <w:unhideWhenUsed/>
    <w:qFormat/>
    <w:pPr>
      <w:spacing w:after="57"/>
      <w:ind w:left="1134"/>
    </w:pPr>
  </w:style>
  <w:style w:type="paragraph" w:styleId="61">
    <w:name w:val="toc 6"/>
    <w:basedOn w:val="a"/>
    <w:next w:val="a"/>
    <w:uiPriority w:val="39"/>
    <w:unhideWhenUsed/>
    <w:qFormat/>
    <w:pPr>
      <w:spacing w:after="57"/>
      <w:ind w:left="1417"/>
    </w:pPr>
  </w:style>
  <w:style w:type="paragraph" w:styleId="71">
    <w:name w:val="toc 7"/>
    <w:basedOn w:val="a"/>
    <w:next w:val="a"/>
    <w:uiPriority w:val="39"/>
    <w:unhideWhenUsed/>
    <w:qFormat/>
    <w:pPr>
      <w:spacing w:after="57"/>
      <w:ind w:left="1701"/>
    </w:pPr>
  </w:style>
  <w:style w:type="paragraph" w:styleId="81">
    <w:name w:val="toc 8"/>
    <w:basedOn w:val="a"/>
    <w:next w:val="a"/>
    <w:uiPriority w:val="39"/>
    <w:unhideWhenUsed/>
    <w:qFormat/>
    <w:pPr>
      <w:spacing w:after="57"/>
      <w:ind w:left="1984"/>
    </w:pPr>
  </w:style>
  <w:style w:type="paragraph" w:styleId="91">
    <w:name w:val="toc 9"/>
    <w:basedOn w:val="a"/>
    <w:next w:val="a"/>
    <w:uiPriority w:val="39"/>
    <w:unhideWhenUsed/>
    <w:qFormat/>
    <w:pPr>
      <w:spacing w:after="57"/>
      <w:ind w:left="2268"/>
    </w:pPr>
  </w:style>
  <w:style w:type="character" w:styleId="af7">
    <w:name w:val="annotation reference"/>
    <w:basedOn w:val="a0"/>
    <w:uiPriority w:val="99"/>
    <w:unhideWhenUsed/>
    <w:qFormat/>
    <w:rPr>
      <w:sz w:val="16"/>
      <w:szCs w:val="16"/>
    </w:rPr>
  </w:style>
  <w:style w:type="character" w:styleId="af8">
    <w:name w:val="Emphasis"/>
    <w:basedOn w:val="a0"/>
    <w:uiPriority w:val="20"/>
    <w:qFormat/>
    <w:rPr>
      <w:i/>
      <w:iCs/>
    </w:rPr>
  </w:style>
  <w:style w:type="character" w:styleId="af9">
    <w:name w:val="endnote reference"/>
    <w:basedOn w:val="a0"/>
    <w:uiPriority w:val="99"/>
    <w:unhideWhenUsed/>
    <w:qFormat/>
    <w:rPr>
      <w:vertAlign w:val="superscript"/>
    </w:rPr>
  </w:style>
  <w:style w:type="character" w:styleId="afa">
    <w:name w:val="footnote reference"/>
    <w:basedOn w:val="a0"/>
    <w:uiPriority w:val="99"/>
    <w:unhideWhenUsed/>
    <w:qFormat/>
    <w:rPr>
      <w:vertAlign w:val="superscript"/>
    </w:rPr>
  </w:style>
  <w:style w:type="character" w:styleId="afb">
    <w:name w:val="Hyperlink"/>
    <w:uiPriority w:val="99"/>
    <w:unhideWhenUsed/>
    <w:qFormat/>
    <w:rPr>
      <w:color w:val="0563C1" w:themeColor="hyperlink"/>
      <w:u w:val="single"/>
    </w:rPr>
  </w:style>
  <w:style w:type="table" w:styleId="afc">
    <w:name w:val="Table Grid"/>
    <w:basedOn w:val="a1"/>
    <w:uiPriority w:val="59"/>
    <w:qFormat/>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EndnoteTextChar">
    <w:name w:val="Endnote Text Char"/>
    <w:uiPriority w:val="99"/>
    <w:qFormat/>
    <w:rPr>
      <w:sz w:val="20"/>
    </w:rPr>
  </w:style>
  <w:style w:type="character" w:customStyle="1" w:styleId="10">
    <w:name w:val="Заголовок 1 Знак"/>
    <w:basedOn w:val="a0"/>
    <w:link w:val="1"/>
    <w:uiPriority w:val="9"/>
    <w:qFormat/>
    <w:rPr>
      <w:rFonts w:ascii="Arial" w:eastAsia="Arial" w:hAnsi="Arial" w:cs="Arial"/>
      <w:sz w:val="40"/>
      <w:szCs w:val="40"/>
    </w:rPr>
  </w:style>
  <w:style w:type="character" w:customStyle="1" w:styleId="20">
    <w:name w:val="Заголовок 2 Знак"/>
    <w:basedOn w:val="a0"/>
    <w:link w:val="2"/>
    <w:uiPriority w:val="9"/>
    <w:qFormat/>
    <w:rPr>
      <w:rFonts w:ascii="Arial" w:eastAsia="Arial" w:hAnsi="Arial" w:cs="Arial"/>
      <w:sz w:val="34"/>
    </w:rPr>
  </w:style>
  <w:style w:type="character" w:customStyle="1" w:styleId="30">
    <w:name w:val="Заголовок 3 Знак"/>
    <w:basedOn w:val="a0"/>
    <w:link w:val="3"/>
    <w:uiPriority w:val="9"/>
    <w:qFormat/>
    <w:rPr>
      <w:rFonts w:ascii="Arial" w:eastAsia="Arial" w:hAnsi="Arial" w:cs="Arial"/>
      <w:sz w:val="30"/>
      <w:szCs w:val="30"/>
    </w:rPr>
  </w:style>
  <w:style w:type="character" w:customStyle="1" w:styleId="40">
    <w:name w:val="Заголовок 4 Знак"/>
    <w:basedOn w:val="a0"/>
    <w:link w:val="4"/>
    <w:uiPriority w:val="9"/>
    <w:qFormat/>
    <w:rPr>
      <w:rFonts w:ascii="Arial" w:eastAsia="Arial" w:hAnsi="Arial" w:cs="Arial"/>
      <w:b/>
      <w:bCs/>
      <w:sz w:val="26"/>
      <w:szCs w:val="26"/>
    </w:rPr>
  </w:style>
  <w:style w:type="character" w:customStyle="1" w:styleId="50">
    <w:name w:val="Заголовок 5 Знак"/>
    <w:basedOn w:val="a0"/>
    <w:link w:val="5"/>
    <w:uiPriority w:val="9"/>
    <w:qFormat/>
    <w:rPr>
      <w:rFonts w:ascii="Arial" w:eastAsia="Arial" w:hAnsi="Arial" w:cs="Arial"/>
      <w:b/>
      <w:bCs/>
      <w:sz w:val="24"/>
      <w:szCs w:val="24"/>
    </w:rPr>
  </w:style>
  <w:style w:type="character" w:customStyle="1" w:styleId="60">
    <w:name w:val="Заголовок 6 Знак"/>
    <w:basedOn w:val="a0"/>
    <w:link w:val="6"/>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paragraph" w:customStyle="1" w:styleId="12">
    <w:name w:val="Без інтервалів1"/>
    <w:uiPriority w:val="1"/>
    <w:qFormat/>
    <w:pPr>
      <w:spacing w:after="0" w:line="240" w:lineRule="auto"/>
    </w:pPr>
    <w:rPr>
      <w:rFonts w:asciiTheme="minorHAnsi" w:eastAsiaTheme="minorHAnsi" w:hAnsiTheme="minorHAnsi" w:cstheme="minorBidi"/>
      <w:sz w:val="22"/>
      <w:szCs w:val="22"/>
      <w:lang w:eastAsia="en-US"/>
    </w:rPr>
  </w:style>
  <w:style w:type="character" w:customStyle="1" w:styleId="af6">
    <w:name w:val="Назва Знак"/>
    <w:basedOn w:val="a0"/>
    <w:link w:val="af5"/>
    <w:uiPriority w:val="10"/>
    <w:qFormat/>
    <w:rPr>
      <w:sz w:val="48"/>
      <w:szCs w:val="48"/>
    </w:rPr>
  </w:style>
  <w:style w:type="character" w:customStyle="1" w:styleId="af3">
    <w:name w:val="Підзаголовок Знак"/>
    <w:basedOn w:val="a0"/>
    <w:link w:val="af2"/>
    <w:uiPriority w:val="11"/>
    <w:qFormat/>
    <w:rPr>
      <w:sz w:val="24"/>
      <w:szCs w:val="24"/>
    </w:rPr>
  </w:style>
  <w:style w:type="paragraph" w:customStyle="1" w:styleId="13">
    <w:name w:val="Цитата1"/>
    <w:basedOn w:val="a"/>
    <w:next w:val="a"/>
    <w:link w:val="afd"/>
    <w:uiPriority w:val="29"/>
    <w:qFormat/>
    <w:pPr>
      <w:ind w:left="720" w:right="720"/>
    </w:pPr>
    <w:rPr>
      <w:i/>
    </w:rPr>
  </w:style>
  <w:style w:type="character" w:customStyle="1" w:styleId="afd">
    <w:name w:val="Цитата Знак"/>
    <w:link w:val="13"/>
    <w:uiPriority w:val="29"/>
    <w:qFormat/>
    <w:rPr>
      <w:i/>
    </w:rPr>
  </w:style>
  <w:style w:type="paragraph" w:customStyle="1" w:styleId="14">
    <w:name w:val="Насичена цитата1"/>
    <w:basedOn w:val="a"/>
    <w:next w:val="a"/>
    <w:link w:val="afe"/>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e">
    <w:name w:val="Насичена цитата Знак"/>
    <w:link w:val="14"/>
    <w:uiPriority w:val="30"/>
    <w:qFormat/>
    <w:rPr>
      <w:i/>
    </w:rPr>
  </w:style>
  <w:style w:type="character" w:customStyle="1" w:styleId="af1">
    <w:name w:val="Верхній колонтитул Знак"/>
    <w:basedOn w:val="a0"/>
    <w:link w:val="af0"/>
    <w:uiPriority w:val="99"/>
    <w:qFormat/>
  </w:style>
  <w:style w:type="character" w:customStyle="1" w:styleId="FooterChar">
    <w:name w:val="Footer Char"/>
    <w:basedOn w:val="a0"/>
    <w:uiPriority w:val="99"/>
    <w:qFormat/>
  </w:style>
  <w:style w:type="character" w:customStyle="1" w:styleId="ad">
    <w:name w:val="Нижній колонтитул Знак"/>
    <w:link w:val="ac"/>
    <w:uiPriority w:val="99"/>
    <w:qFormat/>
  </w:style>
  <w:style w:type="table" w:customStyle="1" w:styleId="TableGridLight1">
    <w:name w:val="Table Grid Light1"/>
    <w:basedOn w:val="a1"/>
    <w:uiPriority w:val="59"/>
    <w:qFormat/>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Звичайна таблиця 11"/>
    <w:basedOn w:val="a1"/>
    <w:uiPriority w:val="59"/>
    <w:qFormat/>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Звичайна таблиця 21"/>
    <w:basedOn w:val="a1"/>
    <w:uiPriority w:val="59"/>
    <w:qFormat/>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Звичайна таблиця 31"/>
    <w:basedOn w:val="a1"/>
    <w:uiPriority w:val="99"/>
    <w:qFormat/>
    <w:pPr>
      <w:spacing w:after="0" w:line="240" w:lineRule="auto"/>
    </w:pP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Звичайна таблиця 41"/>
    <w:basedOn w:val="a1"/>
    <w:uiPriority w:val="99"/>
    <w:qFormat/>
    <w:pPr>
      <w:spacing w:after="0" w:line="240" w:lineRule="auto"/>
    </w:pP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Звичайна таблиця 51"/>
    <w:basedOn w:val="a1"/>
    <w:uiPriority w:val="99"/>
    <w:qFormat/>
    <w:pPr>
      <w:spacing w:after="0" w:line="240" w:lineRule="auto"/>
    </w:pPr>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1">
    <w:name w:val="Сітка таблиці 1 (світла)1"/>
    <w:basedOn w:val="a1"/>
    <w:uiPriority w:val="99"/>
    <w:qFormat/>
    <w:pPr>
      <w:spacing w:after="0" w:line="240" w:lineRule="auto"/>
    </w:pPr>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a1"/>
    <w:uiPriority w:val="99"/>
    <w:qFormat/>
    <w:pPr>
      <w:spacing w:after="0" w:line="240" w:lineRule="auto"/>
    </w:pPr>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a1"/>
    <w:uiPriority w:val="99"/>
    <w:qFormat/>
    <w:pPr>
      <w:spacing w:after="0" w:line="240" w:lineRule="auto"/>
    </w:pPr>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a1"/>
    <w:uiPriority w:val="99"/>
    <w:qFormat/>
    <w:pPr>
      <w:spacing w:after="0" w:line="240" w:lineRule="auto"/>
    </w:pPr>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a1"/>
    <w:uiPriority w:val="99"/>
    <w:qFormat/>
    <w:pPr>
      <w:spacing w:after="0" w:line="240" w:lineRule="auto"/>
    </w:pPr>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a1"/>
    <w:uiPriority w:val="99"/>
    <w:qFormat/>
    <w:pPr>
      <w:spacing w:after="0" w:line="240" w:lineRule="auto"/>
    </w:pPr>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a1"/>
    <w:uiPriority w:val="99"/>
    <w:qFormat/>
    <w:pPr>
      <w:spacing w:after="0" w:line="240" w:lineRule="auto"/>
    </w:pPr>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я-сітка 21"/>
    <w:basedOn w:val="a1"/>
    <w:uiPriority w:val="99"/>
    <w:qFormat/>
    <w:pPr>
      <w:spacing w:after="0" w:line="240" w:lineRule="auto"/>
    </w:pPr>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a1"/>
    <w:uiPriority w:val="99"/>
    <w:qFormat/>
    <w:pPr>
      <w:spacing w:after="0" w:line="240" w:lineRule="auto"/>
    </w:pPr>
    <w:tblPr>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il"/>
          <w:left w:val="nil"/>
          <w:bottom w:val="single" w:sz="12" w:space="0" w:color="68A2D8" w:themeColor="accent1" w:themeTint="EA"/>
          <w:right w:val="nil"/>
        </w:tcBorders>
        <w:shd w:val="clear" w:color="FFFFFF" w:fill="auto"/>
      </w:tcPr>
    </w:tblStylePr>
    <w:tblStylePr w:type="lastRow">
      <w:rPr>
        <w:b/>
        <w:color w:val="404040"/>
      </w:rPr>
      <w:tblPr/>
      <w:tcPr>
        <w:tcBorders>
          <w:top w:val="single" w:sz="4" w:space="0" w:color="68A2D8"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1">
    <w:name w:val="Grid Table 2 - Accent 21"/>
    <w:basedOn w:val="a1"/>
    <w:uiPriority w:val="99"/>
    <w:qFormat/>
    <w:pPr>
      <w:spacing w:after="0" w:line="240" w:lineRule="auto"/>
    </w:pPr>
    <w:tblPr>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single" w:sz="12" w:space="0" w:color="F4B184" w:themeColor="accent2" w:themeTint="97"/>
          <w:right w:val="nil"/>
        </w:tcBorders>
        <w:shd w:val="clear" w:color="FFFFFF" w:fill="auto"/>
      </w:tcPr>
    </w:tblStylePr>
    <w:tblStylePr w:type="lastRow">
      <w:rPr>
        <w:b/>
        <w:color w:val="404040"/>
      </w:rPr>
      <w:tblPr/>
      <w:tcPr>
        <w:tcBorders>
          <w:top w:val="single" w:sz="4" w:space="0" w:color="F4B184"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a1"/>
    <w:uiPriority w:val="99"/>
    <w:qFormat/>
    <w:pPr>
      <w:spacing w:after="0" w:line="240" w:lineRule="auto"/>
    </w:pPr>
    <w:tblPr>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single" w:sz="12" w:space="0" w:color="A5A5A5" w:themeColor="accent3" w:themeTint="FE"/>
          <w:right w:val="nil"/>
        </w:tcBorders>
        <w:shd w:val="clear" w:color="FFFFFF" w:fill="auto"/>
      </w:tcPr>
    </w:tblStylePr>
    <w:tblStylePr w:type="lastRow">
      <w:rPr>
        <w:b/>
        <w:color w:val="404040"/>
      </w:rPr>
      <w:tblPr/>
      <w:tcPr>
        <w:tcBorders>
          <w:top w:val="single" w:sz="4" w:space="0" w:color="A5A5A5"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a1"/>
    <w:uiPriority w:val="99"/>
    <w:qFormat/>
    <w:pPr>
      <w:spacing w:after="0" w:line="240" w:lineRule="auto"/>
    </w:pPr>
    <w:tblPr>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single" w:sz="12" w:space="0" w:color="FFD865" w:themeColor="accent4" w:themeTint="9A"/>
          <w:right w:val="nil"/>
        </w:tcBorders>
        <w:shd w:val="clear" w:color="FFFFFF" w:fill="auto"/>
      </w:tcPr>
    </w:tblStylePr>
    <w:tblStylePr w:type="lastRow">
      <w:rPr>
        <w:b/>
        <w:color w:val="404040"/>
      </w:rPr>
      <w:tblPr/>
      <w:tcPr>
        <w:tcBorders>
          <w:top w:val="single" w:sz="4" w:space="0" w:color="FFD865"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a1"/>
    <w:uiPriority w:val="99"/>
    <w:qFormat/>
    <w:pPr>
      <w:spacing w:after="0" w:line="240" w:lineRule="auto"/>
    </w:pPr>
    <w:tblPr>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il"/>
          <w:left w:val="nil"/>
          <w:bottom w:val="single" w:sz="12" w:space="0" w:color="4472C4" w:themeColor="accent5"/>
          <w:right w:val="nil"/>
        </w:tcBorders>
        <w:shd w:val="clear" w:color="FFFFFF" w:fill="auto"/>
      </w:tcPr>
    </w:tblStylePr>
    <w:tblStylePr w:type="lastRow">
      <w:rPr>
        <w:b/>
        <w:color w:val="404040"/>
      </w:rPr>
      <w:tblPr/>
      <w:tcPr>
        <w:tcBorders>
          <w:top w:val="single" w:sz="4" w:space="0" w:color="4472C4"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1">
    <w:name w:val="Grid Table 2 - Accent 61"/>
    <w:basedOn w:val="a1"/>
    <w:uiPriority w:val="99"/>
    <w:qFormat/>
    <w:pPr>
      <w:spacing w:after="0" w:line="240" w:lineRule="auto"/>
    </w:pPr>
    <w:tblPr>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single" w:sz="12" w:space="0" w:color="70AD47" w:themeColor="accent6"/>
          <w:right w:val="nil"/>
        </w:tcBorders>
        <w:shd w:val="clear" w:color="FFFFFF" w:fill="auto"/>
      </w:tcPr>
    </w:tblStylePr>
    <w:tblStylePr w:type="lastRow">
      <w:rPr>
        <w:b/>
        <w:color w:val="404040"/>
      </w:rPr>
      <w:tblPr/>
      <w:tcPr>
        <w:tcBorders>
          <w:top w:val="single" w:sz="4" w:space="0" w:color="70AD47"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я-сітка 31"/>
    <w:basedOn w:val="a1"/>
    <w:uiPriority w:val="99"/>
    <w:qFormat/>
    <w:pPr>
      <w:spacing w:after="0" w:line="240" w:lineRule="auto"/>
    </w:pPr>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a1"/>
    <w:uiPriority w:val="99"/>
    <w:qFormat/>
    <w:pPr>
      <w:spacing w:after="0" w:line="240" w:lineRule="auto"/>
    </w:pPr>
    <w:tblPr>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1">
    <w:name w:val="Grid Table 3 - Accent 21"/>
    <w:basedOn w:val="a1"/>
    <w:uiPriority w:val="99"/>
    <w:qFormat/>
    <w:pPr>
      <w:spacing w:after="0" w:line="240" w:lineRule="auto"/>
    </w:pPr>
    <w:tblPr>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a1"/>
    <w:uiPriority w:val="99"/>
    <w:qFormat/>
    <w:pPr>
      <w:spacing w:after="0" w:line="240" w:lineRule="auto"/>
    </w:pPr>
    <w:tblPr>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a1"/>
    <w:uiPriority w:val="99"/>
    <w:qFormat/>
    <w:pPr>
      <w:spacing w:after="0" w:line="240" w:lineRule="auto"/>
    </w:pPr>
    <w:tblPr>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a1"/>
    <w:uiPriority w:val="99"/>
    <w:qFormat/>
    <w:pPr>
      <w:spacing w:after="0" w:line="240" w:lineRule="auto"/>
    </w:pPr>
    <w:tblPr>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1">
    <w:name w:val="Grid Table 3 - Accent 61"/>
    <w:basedOn w:val="a1"/>
    <w:uiPriority w:val="99"/>
    <w:qFormat/>
    <w:pPr>
      <w:spacing w:after="0" w:line="240" w:lineRule="auto"/>
    </w:pPr>
    <w:tblPr>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я-сітка 41"/>
    <w:basedOn w:val="a1"/>
    <w:uiPriority w:val="59"/>
    <w:qFormat/>
    <w:pPr>
      <w:spacing w:after="0" w:line="240" w:lineRule="auto"/>
    </w:pPr>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a1"/>
    <w:uiPriority w:val="59"/>
    <w:qFormat/>
    <w:pPr>
      <w:spacing w:after="0" w:line="240" w:lineRule="auto"/>
    </w:pPr>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1">
    <w:name w:val="Grid Table 4 - Accent 21"/>
    <w:basedOn w:val="a1"/>
    <w:uiPriority w:val="59"/>
    <w:qFormat/>
    <w:pPr>
      <w:spacing w:after="0" w:line="240" w:lineRule="auto"/>
    </w:pPr>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a1"/>
    <w:uiPriority w:val="59"/>
    <w:qFormat/>
    <w:pPr>
      <w:spacing w:after="0" w:line="240" w:lineRule="auto"/>
    </w:pPr>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a1"/>
    <w:uiPriority w:val="59"/>
    <w:qFormat/>
    <w:pPr>
      <w:spacing w:after="0" w:line="240" w:lineRule="auto"/>
    </w:pPr>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a1"/>
    <w:uiPriority w:val="59"/>
    <w:qFormat/>
    <w:pPr>
      <w:spacing w:after="0" w:line="240" w:lineRule="auto"/>
    </w:pPr>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1">
    <w:name w:val="Grid Table 4 - Accent 61"/>
    <w:basedOn w:val="a1"/>
    <w:uiPriority w:val="59"/>
    <w:qFormat/>
    <w:pPr>
      <w:spacing w:after="0" w:line="240" w:lineRule="auto"/>
    </w:pPr>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1">
    <w:name w:val="Сітка таблиці 5 (темна)1"/>
    <w:basedOn w:val="a1"/>
    <w:uiPriority w:val="99"/>
    <w:qFormat/>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qFormat/>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1">
    <w:name w:val="Grid Table 5 Dark - Accent 21"/>
    <w:basedOn w:val="a1"/>
    <w:uiPriority w:val="99"/>
    <w:qFormat/>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a1"/>
    <w:uiPriority w:val="99"/>
    <w:qFormat/>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qFormat/>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a1"/>
    <w:uiPriority w:val="99"/>
    <w:qFormat/>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1">
    <w:name w:val="Grid Table 5 Dark - Accent 61"/>
    <w:basedOn w:val="a1"/>
    <w:uiPriority w:val="99"/>
    <w:qFormat/>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0">
    <w:name w:val="Сітка таблиці 6 (кольорова)1"/>
    <w:basedOn w:val="a1"/>
    <w:uiPriority w:val="99"/>
    <w:qFormat/>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1">
    <w:name w:val="Grid Table 6 Colorful - Accent 11"/>
    <w:basedOn w:val="a1"/>
    <w:uiPriority w:val="99"/>
    <w:qFormat/>
    <w:pPr>
      <w:spacing w:after="0" w:line="240" w:lineRule="auto"/>
    </w:pPr>
    <w:tblPr>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rPr>
      <w:tblPr/>
      <w:tcPr>
        <w:tcBorders>
          <w:bottom w:val="single" w:sz="12" w:space="0" w:color="ACCCEA" w:themeColor="accent1" w:themeTint="80"/>
        </w:tcBorders>
      </w:tcPr>
    </w:tblStylePr>
    <w:tblStylePr w:type="lastRow">
      <w:rPr>
        <w:b/>
        <w:color w:val="ACCCEA" w:themeColor="accent1" w:themeTint="80"/>
      </w:rPr>
    </w:tblStylePr>
    <w:tblStylePr w:type="firstCol">
      <w:rPr>
        <w:b/>
        <w:color w:val="ACCCEA" w:themeColor="accent1" w:themeTint="80"/>
      </w:rPr>
    </w:tblStylePr>
    <w:tblStylePr w:type="lastCol">
      <w:rPr>
        <w:b/>
        <w:color w:val="ACCCEA" w:themeColor="accent1" w:themeTint="80"/>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sz w:val="22"/>
      </w:rPr>
      <w:tblPr/>
      <w:tcPr>
        <w:shd w:val="clear" w:color="DDEAF6" w:themeColor="accent1" w:themeTint="34" w:fill="DDEAF6" w:themeFill="accent1" w:themeFillTint="34"/>
      </w:tcPr>
    </w:tblStylePr>
    <w:tblStylePr w:type="band2Horz">
      <w:rPr>
        <w:rFonts w:ascii="Arial" w:hAnsi="Arial"/>
        <w:color w:val="ACCCEA" w:themeColor="accent1" w:themeTint="80"/>
        <w:sz w:val="22"/>
      </w:rPr>
    </w:tblStylePr>
  </w:style>
  <w:style w:type="table" w:customStyle="1" w:styleId="GridTable6Colorful-Accent21">
    <w:name w:val="Grid Table 6 Colorful - Accent 21"/>
    <w:basedOn w:val="a1"/>
    <w:uiPriority w:val="99"/>
    <w:qFormat/>
    <w:pPr>
      <w:spacing w:after="0" w:line="240" w:lineRule="auto"/>
    </w:pPr>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285" w:themeColor="accent2" w:themeTint="96"/>
      </w:rPr>
      <w:tblPr/>
      <w:tcPr>
        <w:tcBorders>
          <w:bottom w:val="single" w:sz="12" w:space="0" w:color="F4B184" w:themeColor="accent2" w:themeTint="97"/>
        </w:tcBorders>
      </w:tcPr>
    </w:tblStylePr>
    <w:tblStylePr w:type="lastRow">
      <w:rPr>
        <w:b/>
        <w:color w:val="F4B285" w:themeColor="accent2" w:themeTint="96"/>
      </w:rPr>
    </w:tblStylePr>
    <w:tblStylePr w:type="firstCol">
      <w:rPr>
        <w:b/>
        <w:color w:val="F4B285" w:themeColor="accent2" w:themeTint="96"/>
      </w:rPr>
    </w:tblStylePr>
    <w:tblStylePr w:type="lastCol">
      <w:rPr>
        <w:b/>
        <w:color w:val="F4B285" w:themeColor="accent2" w:themeTint="96"/>
      </w:rPr>
    </w:tblStylePr>
    <w:tblStylePr w:type="band1Vert">
      <w:tblPr/>
      <w:tcPr>
        <w:shd w:val="clear" w:color="FBE5D6" w:themeColor="accent2" w:themeTint="32" w:fill="FBE5D6" w:themeFill="accent2" w:themeFillTint="32"/>
      </w:tcPr>
    </w:tblStylePr>
    <w:tblStylePr w:type="band1Horz">
      <w:rPr>
        <w:rFonts w:ascii="Arial" w:hAnsi="Arial"/>
        <w:color w:val="F4B285" w:themeColor="accent2" w:themeTint="96"/>
        <w:sz w:val="22"/>
      </w:rPr>
      <w:tblPr/>
      <w:tcPr>
        <w:shd w:val="clear" w:color="FBE5D6" w:themeColor="accent2" w:themeTint="32" w:fill="FBE5D6" w:themeFill="accent2" w:themeFillTint="32"/>
      </w:tcPr>
    </w:tblStylePr>
    <w:tblStylePr w:type="band2Horz">
      <w:rPr>
        <w:rFonts w:ascii="Arial" w:hAnsi="Arial"/>
        <w:color w:val="F4B285" w:themeColor="accent2" w:themeTint="96"/>
        <w:sz w:val="22"/>
      </w:rPr>
    </w:tblStylePr>
  </w:style>
  <w:style w:type="table" w:customStyle="1" w:styleId="GridTable6Colorful-Accent31">
    <w:name w:val="Grid Table 6 Colorful - Accent 31"/>
    <w:basedOn w:val="a1"/>
    <w:uiPriority w:val="99"/>
    <w:qFormat/>
    <w:pPr>
      <w:spacing w:after="0" w:line="240" w:lineRule="auto"/>
    </w:pPr>
    <w:tblPr>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rPr>
      <w:tblPr/>
      <w:tcPr>
        <w:tcBorders>
          <w:bottom w:val="single" w:sz="12" w:space="0" w:color="A5A5A5" w:themeColor="accent3" w:themeTint="FE"/>
        </w:tcBorders>
      </w:tcPr>
    </w:tblStylePr>
    <w:tblStylePr w:type="lastRow">
      <w:rPr>
        <w:b/>
        <w:color w:val="A5A5A5" w:themeColor="accent3"/>
      </w:rPr>
    </w:tblStylePr>
    <w:tblStylePr w:type="firstCol">
      <w:rPr>
        <w:b/>
        <w:color w:val="A5A5A5" w:themeColor="accent3"/>
      </w:rPr>
    </w:tblStylePr>
    <w:tblStylePr w:type="lastCol">
      <w:rPr>
        <w:b/>
        <w:color w:val="A5A5A5" w:themeColor="accent3"/>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sz w:val="22"/>
      </w:rPr>
      <w:tblPr/>
      <w:tcPr>
        <w:shd w:val="clear" w:color="ECECEC" w:themeColor="accent3" w:themeTint="34" w:fill="ECECEC" w:themeFill="accent3" w:themeFillTint="34"/>
      </w:tcPr>
    </w:tblStylePr>
    <w:tblStylePr w:type="band2Horz">
      <w:rPr>
        <w:rFonts w:ascii="Arial" w:hAnsi="Arial"/>
        <w:color w:val="A5A5A5" w:themeColor="accent3"/>
        <w:sz w:val="22"/>
      </w:rPr>
    </w:tblStylePr>
  </w:style>
  <w:style w:type="table" w:customStyle="1" w:styleId="GridTable6Colorful-Accent41">
    <w:name w:val="Grid Table 6 Colorful - Accent 41"/>
    <w:basedOn w:val="a1"/>
    <w:uiPriority w:val="99"/>
    <w:qFormat/>
    <w:pPr>
      <w:spacing w:after="0" w:line="240" w:lineRule="auto"/>
    </w:pPr>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966" w:themeColor="accent4" w:themeTint="99"/>
      </w:rPr>
      <w:tblPr/>
      <w:tcPr>
        <w:tcBorders>
          <w:bottom w:val="single" w:sz="12" w:space="0" w:color="FFD865" w:themeColor="accent4" w:themeTint="9A"/>
        </w:tcBorders>
      </w:tcPr>
    </w:tblStylePr>
    <w:tblStylePr w:type="lastRow">
      <w:rPr>
        <w:b/>
        <w:color w:val="FFD966" w:themeColor="accent4" w:themeTint="99"/>
      </w:rPr>
    </w:tblStylePr>
    <w:tblStylePr w:type="firstCol">
      <w:rPr>
        <w:b/>
        <w:color w:val="FFD966" w:themeColor="accent4" w:themeTint="99"/>
      </w:rPr>
    </w:tblStylePr>
    <w:tblStylePr w:type="lastCol">
      <w:rPr>
        <w:b/>
        <w:color w:val="FFD966" w:themeColor="accent4" w:themeTint="99"/>
      </w:rPr>
    </w:tblStylePr>
    <w:tblStylePr w:type="band1Vert">
      <w:tblPr/>
      <w:tcPr>
        <w:shd w:val="clear" w:color="FFF2CB" w:themeColor="accent4" w:themeTint="34" w:fill="FFF2CB" w:themeFill="accent4" w:themeFillTint="34"/>
      </w:tcPr>
    </w:tblStylePr>
    <w:tblStylePr w:type="band1Horz">
      <w:rPr>
        <w:rFonts w:ascii="Arial" w:hAnsi="Arial"/>
        <w:color w:val="FFD966" w:themeColor="accent4" w:themeTint="99"/>
        <w:sz w:val="22"/>
      </w:rPr>
      <w:tblPr/>
      <w:tcPr>
        <w:shd w:val="clear" w:color="FFF2CB" w:themeColor="accent4" w:themeTint="34" w:fill="FFF2CB" w:themeFill="accent4" w:themeFillTint="34"/>
      </w:tcPr>
    </w:tblStylePr>
    <w:tblStylePr w:type="band2Horz">
      <w:rPr>
        <w:rFonts w:ascii="Arial" w:hAnsi="Arial"/>
        <w:color w:val="FFD966" w:themeColor="accent4" w:themeTint="99"/>
        <w:sz w:val="22"/>
      </w:rPr>
    </w:tblStylePr>
  </w:style>
  <w:style w:type="table" w:customStyle="1" w:styleId="GridTable6Colorful-Accent51">
    <w:name w:val="Grid Table 6 Colorful - Accent 51"/>
    <w:basedOn w:val="a1"/>
    <w:uiPriority w:val="99"/>
    <w:qFormat/>
    <w:pPr>
      <w:spacing w:after="0" w:line="240" w:lineRule="auto"/>
    </w:pPr>
    <w:tblP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44174" w:themeColor="accent5" w:themeShade="94"/>
      </w:rPr>
      <w:tblPr/>
      <w:tcPr>
        <w:tcBorders>
          <w:bottom w:val="single" w:sz="12" w:space="0" w:color="4472C4" w:themeColor="accent5"/>
        </w:tcBorders>
      </w:tcPr>
    </w:tblStylePr>
    <w:tblStylePr w:type="lastRow">
      <w:rPr>
        <w:b/>
        <w:color w:val="244174" w:themeColor="accent5" w:themeShade="94"/>
      </w:rPr>
    </w:tblStylePr>
    <w:tblStylePr w:type="firstCol">
      <w:rPr>
        <w:b/>
        <w:color w:val="244174" w:themeColor="accent5" w:themeShade="94"/>
      </w:rPr>
    </w:tblStylePr>
    <w:tblStylePr w:type="lastCol">
      <w:rPr>
        <w:b/>
        <w:color w:val="244174" w:themeColor="accent5" w:themeShade="94"/>
      </w:rPr>
    </w:tblStylePr>
    <w:tblStylePr w:type="band1Vert">
      <w:tblPr/>
      <w:tcPr>
        <w:shd w:val="clear" w:color="D8E2F3" w:themeColor="accent5" w:themeTint="34" w:fill="D8E2F3" w:themeFill="accent5" w:themeFillTint="34"/>
      </w:tcPr>
    </w:tblStylePr>
    <w:tblStylePr w:type="band1Horz">
      <w:rPr>
        <w:rFonts w:ascii="Arial" w:hAnsi="Arial"/>
        <w:color w:val="244174" w:themeColor="accent5" w:themeShade="94"/>
        <w:sz w:val="22"/>
      </w:rPr>
      <w:tblPr/>
      <w:tcPr>
        <w:shd w:val="clear" w:color="D8E2F3" w:themeColor="accent5" w:themeTint="34" w:fill="D8E2F3" w:themeFill="accent5" w:themeFillTint="34"/>
      </w:tcPr>
    </w:tblStylePr>
    <w:tblStylePr w:type="band2Horz">
      <w:rPr>
        <w:rFonts w:ascii="Arial" w:hAnsi="Arial"/>
        <w:color w:val="244174" w:themeColor="accent5" w:themeShade="94"/>
        <w:sz w:val="22"/>
      </w:rPr>
    </w:tblStylePr>
  </w:style>
  <w:style w:type="table" w:customStyle="1" w:styleId="GridTable6Colorful-Accent61">
    <w:name w:val="Grid Table 6 Colorful - Accent 61"/>
    <w:basedOn w:val="a1"/>
    <w:uiPriority w:val="99"/>
    <w:qFormat/>
    <w:pPr>
      <w:spacing w:after="0" w:line="240" w:lineRule="auto"/>
    </w:pPr>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4174" w:themeColor="accent5" w:themeShade="94"/>
      </w:rPr>
      <w:tblPr/>
      <w:tcPr>
        <w:tcBorders>
          <w:bottom w:val="single" w:sz="12" w:space="0" w:color="70AD47" w:themeColor="accent6"/>
        </w:tcBorders>
      </w:tcPr>
    </w:tblStylePr>
    <w:tblStylePr w:type="lastRow">
      <w:rPr>
        <w:b/>
        <w:color w:val="244174" w:themeColor="accent5" w:themeShade="94"/>
      </w:rPr>
    </w:tblStylePr>
    <w:tblStylePr w:type="firstCol">
      <w:rPr>
        <w:b/>
        <w:color w:val="244174" w:themeColor="accent5" w:themeShade="94"/>
      </w:rPr>
    </w:tblStylePr>
    <w:tblStylePr w:type="lastCol">
      <w:rPr>
        <w:b/>
        <w:color w:val="244174" w:themeColor="accent5" w:themeShade="94"/>
      </w:rPr>
    </w:tblStylePr>
    <w:tblStylePr w:type="band1Vert">
      <w:tblPr/>
      <w:tcPr>
        <w:shd w:val="clear" w:color="E1EFD8" w:themeColor="accent6" w:themeTint="34" w:fill="E1EFD8" w:themeFill="accent6" w:themeFillTint="34"/>
      </w:tcPr>
    </w:tblStylePr>
    <w:tblStylePr w:type="band1Horz">
      <w:rPr>
        <w:rFonts w:ascii="Arial" w:hAnsi="Arial"/>
        <w:color w:val="244174" w:themeColor="accent5" w:themeShade="94"/>
        <w:sz w:val="22"/>
      </w:rPr>
      <w:tblPr/>
      <w:tcPr>
        <w:shd w:val="clear" w:color="E1EFD8" w:themeColor="accent6" w:themeTint="34" w:fill="E1EFD8" w:themeFill="accent6" w:themeFillTint="34"/>
      </w:tcPr>
    </w:tblStylePr>
    <w:tblStylePr w:type="band2Horz">
      <w:rPr>
        <w:rFonts w:ascii="Arial" w:hAnsi="Arial"/>
        <w:color w:val="244174" w:themeColor="accent5" w:themeShade="94"/>
        <w:sz w:val="22"/>
      </w:rPr>
    </w:tblStylePr>
  </w:style>
  <w:style w:type="table" w:customStyle="1" w:styleId="710">
    <w:name w:val="Сітка таблиці 7 (кольорова)1"/>
    <w:basedOn w:val="a1"/>
    <w:uiPriority w:val="99"/>
    <w:qFormat/>
    <w:pPr>
      <w:spacing w:after="0" w:line="240" w:lineRule="auto"/>
    </w:pPr>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1">
    <w:name w:val="Grid Table 7 Colorful - Accent 11"/>
    <w:basedOn w:val="a1"/>
    <w:uiPriority w:val="99"/>
    <w:qFormat/>
    <w:pPr>
      <w:spacing w:after="0" w:line="240" w:lineRule="auto"/>
    </w:pPr>
    <w:tblPr>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sz w:val="22"/>
      </w:rPr>
      <w:tblPr/>
      <w:tcPr>
        <w:tcBorders>
          <w:top w:val="nil"/>
          <w:left w:val="nil"/>
          <w:bottom w:val="single" w:sz="4" w:space="0" w:color="ACCCEA" w:themeColor="accent1" w:themeTint="80"/>
          <w:right w:val="nil"/>
        </w:tcBorders>
        <w:shd w:val="clear" w:color="FFFFFF" w:themeColor="light1" w:fill="FFFFFF" w:themeFill="light1"/>
      </w:tcPr>
    </w:tblStylePr>
    <w:tblStylePr w:type="lastRow">
      <w:rPr>
        <w:rFonts w:ascii="Arial" w:hAnsi="Arial"/>
        <w:b/>
        <w:color w:val="ACCCEA" w:themeColor="accent1" w:themeTint="80"/>
        <w:sz w:val="22"/>
      </w:rPr>
      <w:tblPr/>
      <w:tcPr>
        <w:tcBorders>
          <w:top w:val="single" w:sz="4" w:space="0" w:color="ACCCEA"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CCCEA" w:themeColor="accent1" w:themeTint="80"/>
        <w:sz w:val="22"/>
      </w:rPr>
      <w:tblPr/>
      <w:tcPr>
        <w:tcBorders>
          <w:top w:val="nil"/>
          <w:left w:val="nil"/>
          <w:bottom w:val="nil"/>
          <w:right w:val="single" w:sz="4" w:space="0" w:color="ACCCEA" w:themeColor="accent1" w:themeTint="80"/>
        </w:tcBorders>
        <w:shd w:val="clear" w:color="FFFFFF" w:fill="auto"/>
      </w:tcPr>
    </w:tblStylePr>
    <w:tblStylePr w:type="lastCol">
      <w:rPr>
        <w:rFonts w:ascii="Arial" w:hAnsi="Arial"/>
        <w:i/>
        <w:color w:val="ACCCEA" w:themeColor="accent1" w:themeTint="80"/>
        <w:sz w:val="22"/>
      </w:rPr>
      <w:tblPr/>
      <w:tcPr>
        <w:tcBorders>
          <w:top w:val="nil"/>
          <w:left w:val="single" w:sz="4" w:space="0" w:color="ACCCEA" w:themeColor="accent1" w:themeTint="80"/>
          <w:bottom w:val="nil"/>
          <w:right w:val="nil"/>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sz w:val="22"/>
      </w:rPr>
      <w:tblPr/>
      <w:tcPr>
        <w:shd w:val="clear" w:color="DDEAF6" w:themeColor="accent1" w:themeTint="34" w:fill="DDEAF6" w:themeFill="accent1" w:themeFillTint="34"/>
      </w:tcPr>
    </w:tblStylePr>
    <w:tblStylePr w:type="band2Horz">
      <w:rPr>
        <w:rFonts w:ascii="Arial" w:hAnsi="Arial"/>
        <w:color w:val="ACCCEA" w:themeColor="accent1" w:themeTint="80"/>
        <w:sz w:val="22"/>
      </w:rPr>
    </w:tblStylePr>
  </w:style>
  <w:style w:type="table" w:customStyle="1" w:styleId="GridTable7Colorful-Accent21">
    <w:name w:val="Grid Table 7 Colorful - Accent 21"/>
    <w:basedOn w:val="a1"/>
    <w:uiPriority w:val="99"/>
    <w:qFormat/>
    <w:pPr>
      <w:spacing w:after="0" w:line="240" w:lineRule="auto"/>
    </w:pPr>
    <w:tblPr>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285" w:themeColor="accent2" w:themeTint="96"/>
        <w:sz w:val="22"/>
      </w:rPr>
      <w:tblPr/>
      <w:tcPr>
        <w:tcBorders>
          <w:top w:val="nil"/>
          <w:left w:val="nil"/>
          <w:bottom w:val="single" w:sz="4" w:space="0" w:color="F4B184" w:themeColor="accent2" w:themeTint="97"/>
          <w:right w:val="nil"/>
        </w:tcBorders>
        <w:shd w:val="clear" w:color="FFFFFF" w:themeColor="light1" w:fill="FFFFFF" w:themeFill="light1"/>
      </w:tcPr>
    </w:tblStylePr>
    <w:tblStylePr w:type="lastRow">
      <w:rPr>
        <w:rFonts w:ascii="Arial" w:hAnsi="Arial"/>
        <w:b/>
        <w:color w:val="F4B285" w:themeColor="accent2" w:themeTint="96"/>
        <w:sz w:val="22"/>
      </w:rPr>
      <w:tblPr/>
      <w:tcPr>
        <w:tcBorders>
          <w:top w:val="single" w:sz="4" w:space="0" w:color="F4B184"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rPr>
      <w:tblPr/>
      <w:tcPr>
        <w:tcBorders>
          <w:top w:val="nil"/>
          <w:left w:val="nil"/>
          <w:bottom w:val="nil"/>
          <w:right w:val="single" w:sz="4" w:space="0" w:color="F4B184" w:themeColor="accent2" w:themeTint="97"/>
        </w:tcBorders>
        <w:shd w:val="clear" w:color="FFFFFF" w:fill="auto"/>
      </w:tcPr>
    </w:tblStylePr>
    <w:tblStylePr w:type="lastCol">
      <w:rPr>
        <w:rFonts w:ascii="Arial" w:hAnsi="Arial"/>
        <w:i/>
        <w:color w:val="F4B285" w:themeColor="accent2" w:themeTint="96"/>
        <w:sz w:val="22"/>
      </w:rPr>
      <w:tblPr/>
      <w:tcPr>
        <w:tcBorders>
          <w:top w:val="nil"/>
          <w:left w:val="single" w:sz="4" w:space="0" w:color="F4B184" w:themeColor="accent2" w:themeTint="97"/>
          <w:bottom w:val="nil"/>
          <w:right w:val="nil"/>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285" w:themeColor="accent2" w:themeTint="96"/>
        <w:sz w:val="22"/>
      </w:rPr>
      <w:tblPr/>
      <w:tcPr>
        <w:shd w:val="clear" w:color="FBE5D6" w:themeColor="accent2" w:themeTint="32" w:fill="FBE5D6" w:themeFill="accent2" w:themeFillTint="32"/>
      </w:tcPr>
    </w:tblStylePr>
    <w:tblStylePr w:type="band2Horz">
      <w:rPr>
        <w:rFonts w:ascii="Arial" w:hAnsi="Arial"/>
        <w:color w:val="F4B285" w:themeColor="accent2" w:themeTint="96"/>
        <w:sz w:val="22"/>
      </w:rPr>
    </w:tblStylePr>
  </w:style>
  <w:style w:type="table" w:customStyle="1" w:styleId="GridTable7Colorful-Accent31">
    <w:name w:val="Grid Table 7 Colorful - Accent 31"/>
    <w:basedOn w:val="a1"/>
    <w:uiPriority w:val="99"/>
    <w:qFormat/>
    <w:pPr>
      <w:spacing w:after="0" w:line="240" w:lineRule="auto"/>
    </w:pPr>
    <w:tblPr>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sz w:val="22"/>
      </w:rPr>
      <w:tblPr/>
      <w:tcPr>
        <w:tcBorders>
          <w:top w:val="nil"/>
          <w:left w:val="nil"/>
          <w:bottom w:val="single" w:sz="4" w:space="0" w:color="A5A5A5" w:themeColor="accent3" w:themeTint="FE"/>
          <w:right w:val="nil"/>
        </w:tcBorders>
        <w:shd w:val="clear" w:color="FFFFFF" w:themeColor="light1" w:fill="FFFFFF" w:themeFill="light1"/>
      </w:tcPr>
    </w:tblStylePr>
    <w:tblStylePr w:type="lastRow">
      <w:rPr>
        <w:rFonts w:ascii="Arial" w:hAnsi="Arial"/>
        <w:b/>
        <w:color w:val="A5A5A5" w:themeColor="accent3"/>
        <w:sz w:val="22"/>
      </w:rPr>
      <w:tblPr/>
      <w:tcPr>
        <w:tcBorders>
          <w:top w:val="single" w:sz="4" w:space="0" w:color="A5A5A5"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A5A5A5" w:themeColor="accent3"/>
        <w:sz w:val="22"/>
      </w:rPr>
      <w:tblPr/>
      <w:tcPr>
        <w:tcBorders>
          <w:top w:val="nil"/>
          <w:left w:val="nil"/>
          <w:bottom w:val="nil"/>
          <w:right w:val="single" w:sz="4" w:space="0" w:color="A5A5A5" w:themeColor="accent3" w:themeTint="FE"/>
        </w:tcBorders>
        <w:shd w:val="clear" w:color="FFFFFF" w:fill="auto"/>
      </w:tcPr>
    </w:tblStylePr>
    <w:tblStylePr w:type="lastCol">
      <w:rPr>
        <w:rFonts w:ascii="Arial" w:hAnsi="Arial"/>
        <w:i/>
        <w:color w:val="A5A5A5" w:themeColor="accent3"/>
        <w:sz w:val="22"/>
      </w:rPr>
      <w:tblPr/>
      <w:tcPr>
        <w:tcBorders>
          <w:top w:val="nil"/>
          <w:left w:val="single" w:sz="4" w:space="0" w:color="A5A5A5" w:themeColor="accent3" w:themeTint="FE"/>
          <w:bottom w:val="nil"/>
          <w:right w:val="nil"/>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sz w:val="22"/>
      </w:rPr>
      <w:tblPr/>
      <w:tcPr>
        <w:shd w:val="clear" w:color="ECECEC" w:themeColor="accent3" w:themeTint="34" w:fill="ECECEC" w:themeFill="accent3" w:themeFillTint="34"/>
      </w:tcPr>
    </w:tblStylePr>
    <w:tblStylePr w:type="band2Horz">
      <w:rPr>
        <w:rFonts w:ascii="Arial" w:hAnsi="Arial"/>
        <w:color w:val="A5A5A5" w:themeColor="accent3"/>
        <w:sz w:val="22"/>
      </w:rPr>
    </w:tblStylePr>
  </w:style>
  <w:style w:type="table" w:customStyle="1" w:styleId="GridTable7Colorful-Accent41">
    <w:name w:val="Grid Table 7 Colorful - Accent 41"/>
    <w:basedOn w:val="a1"/>
    <w:uiPriority w:val="99"/>
    <w:qFormat/>
    <w:pPr>
      <w:spacing w:after="0" w:line="240" w:lineRule="auto"/>
    </w:pPr>
    <w:tblPr>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966" w:themeColor="accent4" w:themeTint="99"/>
        <w:sz w:val="22"/>
      </w:rPr>
      <w:tblPr/>
      <w:tcPr>
        <w:tcBorders>
          <w:top w:val="nil"/>
          <w:left w:val="nil"/>
          <w:bottom w:val="single" w:sz="4" w:space="0" w:color="FFD865" w:themeColor="accent4" w:themeTint="9A"/>
          <w:right w:val="nil"/>
        </w:tcBorders>
        <w:shd w:val="clear" w:color="FFFFFF" w:themeColor="light1" w:fill="FFFFFF" w:themeFill="light1"/>
      </w:tcPr>
    </w:tblStylePr>
    <w:tblStylePr w:type="lastRow">
      <w:rPr>
        <w:rFonts w:ascii="Arial" w:hAnsi="Arial"/>
        <w:b/>
        <w:color w:val="FFD966" w:themeColor="accent4" w:themeTint="99"/>
        <w:sz w:val="22"/>
      </w:rPr>
      <w:tblPr/>
      <w:tcPr>
        <w:tcBorders>
          <w:top w:val="single" w:sz="4" w:space="0" w:color="FFD865"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rPr>
      <w:tblPr/>
      <w:tcPr>
        <w:tcBorders>
          <w:top w:val="nil"/>
          <w:left w:val="nil"/>
          <w:bottom w:val="nil"/>
          <w:right w:val="single" w:sz="4" w:space="0" w:color="FFD865" w:themeColor="accent4" w:themeTint="9A"/>
        </w:tcBorders>
        <w:shd w:val="clear" w:color="FFFFFF" w:fill="auto"/>
      </w:tcPr>
    </w:tblStylePr>
    <w:tblStylePr w:type="lastCol">
      <w:rPr>
        <w:rFonts w:ascii="Arial" w:hAnsi="Arial"/>
        <w:i/>
        <w:color w:val="FFD966" w:themeColor="accent4" w:themeTint="99"/>
        <w:sz w:val="22"/>
      </w:rPr>
      <w:tblPr/>
      <w:tcPr>
        <w:tcBorders>
          <w:top w:val="nil"/>
          <w:left w:val="single" w:sz="4" w:space="0" w:color="FFD865" w:themeColor="accent4" w:themeTint="9A"/>
          <w:bottom w:val="nil"/>
          <w:right w:val="nil"/>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966" w:themeColor="accent4" w:themeTint="99"/>
        <w:sz w:val="22"/>
      </w:rPr>
      <w:tblPr/>
      <w:tcPr>
        <w:shd w:val="clear" w:color="FFF2CB" w:themeColor="accent4" w:themeTint="34" w:fill="FFF2CB" w:themeFill="accent4" w:themeFillTint="34"/>
      </w:tcPr>
    </w:tblStylePr>
    <w:tblStylePr w:type="band2Horz">
      <w:rPr>
        <w:rFonts w:ascii="Arial" w:hAnsi="Arial"/>
        <w:color w:val="FFD966" w:themeColor="accent4" w:themeTint="99"/>
        <w:sz w:val="22"/>
      </w:rPr>
    </w:tblStylePr>
  </w:style>
  <w:style w:type="table" w:customStyle="1" w:styleId="GridTable7Colorful-Accent51">
    <w:name w:val="Grid Table 7 Colorful - Accent 51"/>
    <w:basedOn w:val="a1"/>
    <w:uiPriority w:val="99"/>
    <w:qFormat/>
    <w:pPr>
      <w:spacing w:after="0" w:line="240" w:lineRule="auto"/>
    </w:pPr>
    <w:tblPr>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44174" w:themeColor="accent5" w:themeShade="94"/>
        <w:sz w:val="22"/>
      </w:rPr>
      <w:tblPr/>
      <w:tcPr>
        <w:tcBorders>
          <w:top w:val="nil"/>
          <w:left w:val="nil"/>
          <w:bottom w:val="single" w:sz="4" w:space="0" w:color="95AFDD" w:themeColor="accent5" w:themeTint="90"/>
          <w:right w:val="nil"/>
        </w:tcBorders>
        <w:shd w:val="clear" w:color="FFFFFF" w:themeColor="light1" w:fill="FFFFFF" w:themeFill="light1"/>
      </w:tcPr>
    </w:tblStylePr>
    <w:tblStylePr w:type="lastRow">
      <w:rPr>
        <w:rFonts w:ascii="Arial" w:hAnsi="Arial"/>
        <w:b/>
        <w:color w:val="244174" w:themeColor="accent5" w:themeShade="94"/>
        <w:sz w:val="22"/>
      </w:rPr>
      <w:tblPr/>
      <w:tcPr>
        <w:tcBorders>
          <w:top w:val="single" w:sz="4" w:space="0" w:color="95AFDD"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44174" w:themeColor="accent5" w:themeShade="94"/>
        <w:sz w:val="22"/>
      </w:rPr>
      <w:tblPr/>
      <w:tcPr>
        <w:tcBorders>
          <w:top w:val="nil"/>
          <w:left w:val="nil"/>
          <w:bottom w:val="nil"/>
          <w:right w:val="single" w:sz="4" w:space="0" w:color="95AFDD" w:themeColor="accent5" w:themeTint="90"/>
        </w:tcBorders>
        <w:shd w:val="clear" w:color="FFFFFF" w:fill="auto"/>
      </w:tcPr>
    </w:tblStylePr>
    <w:tblStylePr w:type="lastCol">
      <w:rPr>
        <w:rFonts w:ascii="Arial" w:hAnsi="Arial"/>
        <w:i/>
        <w:color w:val="244174" w:themeColor="accent5" w:themeShade="94"/>
        <w:sz w:val="22"/>
      </w:rPr>
      <w:tblPr/>
      <w:tcPr>
        <w:tcBorders>
          <w:top w:val="nil"/>
          <w:left w:val="single" w:sz="4" w:space="0" w:color="95AFDD" w:themeColor="accent5" w:themeTint="90"/>
          <w:bottom w:val="nil"/>
          <w:right w:val="nil"/>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44174" w:themeColor="accent5" w:themeShade="94"/>
        <w:sz w:val="22"/>
      </w:rPr>
      <w:tblPr/>
      <w:tcPr>
        <w:shd w:val="clear" w:color="D8E2F3" w:themeColor="accent5" w:themeTint="34" w:fill="D8E2F3" w:themeFill="accent5" w:themeFillTint="34"/>
      </w:tcPr>
    </w:tblStylePr>
    <w:tblStylePr w:type="band2Horz">
      <w:rPr>
        <w:rFonts w:ascii="Arial" w:hAnsi="Arial"/>
        <w:color w:val="244174" w:themeColor="accent5" w:themeShade="94"/>
        <w:sz w:val="22"/>
      </w:rPr>
    </w:tblStylePr>
  </w:style>
  <w:style w:type="table" w:customStyle="1" w:styleId="GridTable7Colorful-Accent61">
    <w:name w:val="Grid Table 7 Colorful - Accent 61"/>
    <w:basedOn w:val="a1"/>
    <w:uiPriority w:val="99"/>
    <w:qFormat/>
    <w:pPr>
      <w:spacing w:after="0" w:line="240" w:lineRule="auto"/>
    </w:pPr>
    <w:tblPr>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06429" w:themeColor="accent6" w:themeShade="94"/>
        <w:sz w:val="22"/>
      </w:rPr>
      <w:tblPr/>
      <w:tcPr>
        <w:tcBorders>
          <w:top w:val="nil"/>
          <w:left w:val="nil"/>
          <w:bottom w:val="single" w:sz="4" w:space="0" w:color="ADD394" w:themeColor="accent6" w:themeTint="90"/>
          <w:right w:val="nil"/>
        </w:tcBorders>
        <w:shd w:val="clear" w:color="FFFFFF" w:themeColor="light1" w:fill="FFFFFF" w:themeFill="light1"/>
      </w:tcPr>
    </w:tblStylePr>
    <w:tblStylePr w:type="lastRow">
      <w:rPr>
        <w:rFonts w:ascii="Arial" w:hAnsi="Arial"/>
        <w:b/>
        <w:color w:val="406429" w:themeColor="accent6" w:themeShade="94"/>
        <w:sz w:val="22"/>
      </w:rPr>
      <w:tblPr/>
      <w:tcPr>
        <w:tcBorders>
          <w:top w:val="single" w:sz="4" w:space="0" w:color="ADD394"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406429" w:themeColor="accent6" w:themeShade="94"/>
        <w:sz w:val="22"/>
      </w:rPr>
      <w:tblPr/>
      <w:tcPr>
        <w:tcBorders>
          <w:top w:val="nil"/>
          <w:left w:val="nil"/>
          <w:bottom w:val="nil"/>
          <w:right w:val="single" w:sz="4" w:space="0" w:color="ADD394" w:themeColor="accent6" w:themeTint="90"/>
        </w:tcBorders>
        <w:shd w:val="clear" w:color="FFFFFF" w:fill="auto"/>
      </w:tcPr>
    </w:tblStylePr>
    <w:tblStylePr w:type="lastCol">
      <w:rPr>
        <w:rFonts w:ascii="Arial" w:hAnsi="Arial"/>
        <w:i/>
        <w:color w:val="406429" w:themeColor="accent6" w:themeShade="94"/>
        <w:sz w:val="22"/>
      </w:rPr>
      <w:tblPr/>
      <w:tcPr>
        <w:tcBorders>
          <w:top w:val="nil"/>
          <w:left w:val="single" w:sz="4" w:space="0" w:color="ADD394" w:themeColor="accent6" w:themeTint="90"/>
          <w:bottom w:val="nil"/>
          <w:right w:val="nil"/>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06429" w:themeColor="accent6" w:themeShade="94"/>
        <w:sz w:val="22"/>
      </w:rPr>
      <w:tblPr/>
      <w:tcPr>
        <w:shd w:val="clear" w:color="E1EFD8" w:themeColor="accent6" w:themeTint="34" w:fill="E1EFD8" w:themeFill="accent6" w:themeFillTint="34"/>
      </w:tcPr>
    </w:tblStylePr>
    <w:tblStylePr w:type="band2Horz">
      <w:rPr>
        <w:rFonts w:ascii="Arial" w:hAnsi="Arial"/>
        <w:color w:val="406429" w:themeColor="accent6" w:themeShade="94"/>
        <w:sz w:val="22"/>
      </w:rPr>
    </w:tblStylePr>
  </w:style>
  <w:style w:type="table" w:customStyle="1" w:styleId="112">
    <w:name w:val="Список таблиці 1 (світлий)1"/>
    <w:basedOn w:val="a1"/>
    <w:uiPriority w:val="99"/>
    <w:qFormat/>
    <w:pPr>
      <w:spacing w:after="0" w:line="240" w:lineRule="auto"/>
    </w:pPr>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a1"/>
    <w:uiPriority w:val="99"/>
    <w:qFormat/>
    <w:pPr>
      <w:spacing w:after="0" w:line="240" w:lineRule="auto"/>
    </w:pPr>
    <w:tblPr/>
    <w:tblStylePr w:type="firstRow">
      <w:rPr>
        <w:b/>
        <w:color w:val="404040"/>
      </w:rPr>
      <w:tblPr/>
      <w:tcPr>
        <w:tcBorders>
          <w:top w:val="nil"/>
          <w:left w:val="nil"/>
          <w:bottom w:val="single" w:sz="4" w:space="0" w:color="5B9BD5" w:themeColor="accent1"/>
          <w:right w:val="nil"/>
        </w:tcBorders>
      </w:tcPr>
    </w:tblStylePr>
    <w:tblStylePr w:type="lastRow">
      <w:rPr>
        <w:b/>
        <w:color w:val="404040"/>
      </w:rPr>
      <w:tblPr/>
      <w:tcPr>
        <w:tcBorders>
          <w:top w:val="single" w:sz="4" w:space="0" w:color="5B9BD5"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1">
    <w:name w:val="List Table 1 Light - Accent 21"/>
    <w:basedOn w:val="a1"/>
    <w:uiPriority w:val="99"/>
    <w:qFormat/>
    <w:pPr>
      <w:spacing w:after="0" w:line="240" w:lineRule="auto"/>
    </w:pPr>
    <w:tblPr/>
    <w:tblStylePr w:type="firstRow">
      <w:rPr>
        <w:b/>
        <w:color w:val="404040"/>
      </w:rPr>
      <w:tblPr/>
      <w:tcPr>
        <w:tcBorders>
          <w:top w:val="nil"/>
          <w:left w:val="nil"/>
          <w:bottom w:val="single" w:sz="4" w:space="0" w:color="ED7D31" w:themeColor="accent2"/>
          <w:right w:val="nil"/>
        </w:tcBorders>
      </w:tcPr>
    </w:tblStylePr>
    <w:tblStylePr w:type="lastRow">
      <w:rPr>
        <w:b/>
        <w:color w:val="404040"/>
      </w:rPr>
      <w:tblPr/>
      <w:tcPr>
        <w:tcBorders>
          <w:top w:val="single" w:sz="4" w:space="0" w:color="ED7D31"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a1"/>
    <w:uiPriority w:val="99"/>
    <w:qFormat/>
    <w:pPr>
      <w:spacing w:after="0" w:line="240" w:lineRule="auto"/>
    </w:pPr>
    <w:tblPr/>
    <w:tblStylePr w:type="firstRow">
      <w:rPr>
        <w:b/>
        <w:color w:val="404040"/>
      </w:rPr>
      <w:tblPr/>
      <w:tcPr>
        <w:tcBorders>
          <w:top w:val="nil"/>
          <w:left w:val="nil"/>
          <w:bottom w:val="single" w:sz="4" w:space="0" w:color="A5A5A5" w:themeColor="accent3"/>
          <w:right w:val="nil"/>
        </w:tcBorders>
      </w:tcPr>
    </w:tblStylePr>
    <w:tblStylePr w:type="lastRow">
      <w:rPr>
        <w:b/>
        <w:color w:val="404040"/>
      </w:rPr>
      <w:tblPr/>
      <w:tcPr>
        <w:tcBorders>
          <w:top w:val="single" w:sz="4" w:space="0" w:color="A5A5A5"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a1"/>
    <w:uiPriority w:val="99"/>
    <w:qFormat/>
    <w:pPr>
      <w:spacing w:after="0" w:line="240" w:lineRule="auto"/>
    </w:pPr>
    <w:tblPr/>
    <w:tblStylePr w:type="firstRow">
      <w:rPr>
        <w:b/>
        <w:color w:val="404040"/>
      </w:rPr>
      <w:tblPr/>
      <w:tcPr>
        <w:tcBorders>
          <w:top w:val="nil"/>
          <w:left w:val="nil"/>
          <w:bottom w:val="single" w:sz="4" w:space="0" w:color="FFC000" w:themeColor="accent4"/>
          <w:right w:val="nil"/>
        </w:tcBorders>
      </w:tcPr>
    </w:tblStylePr>
    <w:tblStylePr w:type="lastRow">
      <w:rPr>
        <w:b/>
        <w:color w:val="404040"/>
      </w:rPr>
      <w:tblPr/>
      <w:tcPr>
        <w:tcBorders>
          <w:top w:val="single" w:sz="4" w:space="0" w:color="FFC000"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a1"/>
    <w:uiPriority w:val="99"/>
    <w:qFormat/>
    <w:pPr>
      <w:spacing w:after="0" w:line="240" w:lineRule="auto"/>
    </w:pPr>
    <w:tblPr/>
    <w:tblStylePr w:type="firstRow">
      <w:rPr>
        <w:b/>
        <w:color w:val="404040"/>
      </w:rPr>
      <w:tblPr/>
      <w:tcPr>
        <w:tcBorders>
          <w:top w:val="nil"/>
          <w:left w:val="nil"/>
          <w:bottom w:val="single" w:sz="4" w:space="0" w:color="4472C4" w:themeColor="accent5"/>
          <w:right w:val="nil"/>
        </w:tcBorders>
      </w:tcPr>
    </w:tblStylePr>
    <w:tblStylePr w:type="lastRow">
      <w:rPr>
        <w:b/>
        <w:color w:val="404040"/>
      </w:rPr>
      <w:tblPr/>
      <w:tcPr>
        <w:tcBorders>
          <w:top w:val="single" w:sz="4" w:space="0" w:color="4472C4"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1">
    <w:name w:val="List Table 1 Light - Accent 61"/>
    <w:basedOn w:val="a1"/>
    <w:uiPriority w:val="99"/>
    <w:qFormat/>
    <w:pPr>
      <w:spacing w:after="0" w:line="240" w:lineRule="auto"/>
    </w:pPr>
    <w:tblPr/>
    <w:tblStylePr w:type="firstRow">
      <w:rPr>
        <w:b/>
        <w:color w:val="404040"/>
      </w:rPr>
      <w:tblPr/>
      <w:tcPr>
        <w:tcBorders>
          <w:top w:val="nil"/>
          <w:left w:val="nil"/>
          <w:bottom w:val="single" w:sz="4" w:space="0" w:color="70AD47" w:themeColor="accent6"/>
          <w:right w:val="nil"/>
        </w:tcBorders>
      </w:tcPr>
    </w:tblStylePr>
    <w:tblStylePr w:type="lastRow">
      <w:rPr>
        <w:b/>
        <w:color w:val="404040"/>
      </w:rPr>
      <w:tblPr/>
      <w:tcPr>
        <w:tcBorders>
          <w:top w:val="single" w:sz="4" w:space="0" w:color="70AD47"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1">
    <w:name w:val="Список таблиці 21"/>
    <w:basedOn w:val="a1"/>
    <w:uiPriority w:val="99"/>
    <w:qFormat/>
    <w:pPr>
      <w:spacing w:after="0" w:line="240" w:lineRule="auto"/>
    </w:pPr>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a1"/>
    <w:uiPriority w:val="99"/>
    <w:qFormat/>
    <w:pPr>
      <w:spacing w:after="0" w:line="240" w:lineRule="auto"/>
    </w:pPr>
    <w:tblPr>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lastRow">
      <w:rPr>
        <w:rFonts w:ascii="Arial" w:hAnsi="Arial"/>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1">
    <w:name w:val="List Table 2 - Accent 21"/>
    <w:basedOn w:val="a1"/>
    <w:uiPriority w:val="99"/>
    <w:qFormat/>
    <w:pPr>
      <w:spacing w:after="0" w:line="240" w:lineRule="auto"/>
    </w:pPr>
    <w:tblPr>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la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a1"/>
    <w:uiPriority w:val="99"/>
    <w:qFormat/>
    <w:pPr>
      <w:spacing w:after="0" w:line="240" w:lineRule="auto"/>
    </w:pPr>
    <w:tblPr>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la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a1"/>
    <w:uiPriority w:val="99"/>
    <w:qFormat/>
    <w:pPr>
      <w:spacing w:after="0" w:line="240" w:lineRule="auto"/>
    </w:pPr>
    <w:tblPr>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la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a1"/>
    <w:uiPriority w:val="99"/>
    <w:qFormat/>
    <w:pPr>
      <w:spacing w:after="0" w:line="240" w:lineRule="auto"/>
    </w:pPr>
    <w:tblPr>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lastRow">
      <w:rPr>
        <w:rFonts w:ascii="Arial" w:hAnsi="Arial"/>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1">
    <w:name w:val="List Table 2 - Accent 61"/>
    <w:basedOn w:val="a1"/>
    <w:uiPriority w:val="99"/>
    <w:qFormat/>
    <w:pPr>
      <w:spacing w:after="0" w:line="240" w:lineRule="auto"/>
    </w:pPr>
    <w:tblPr>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la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1">
    <w:name w:val="Список таблиці 31"/>
    <w:basedOn w:val="a1"/>
    <w:uiPriority w:val="9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a1"/>
    <w:uiPriority w:val="99"/>
    <w:qFormat/>
    <w:pPr>
      <w:spacing w:after="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a1"/>
    <w:uiPriority w:val="99"/>
    <w:qFormat/>
    <w:pPr>
      <w:spacing w:after="0" w:line="240" w:lineRule="auto"/>
    </w:pPr>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a1"/>
    <w:uiPriority w:val="99"/>
    <w:qFormat/>
    <w:pPr>
      <w:spacing w:after="0" w:line="240" w:lineRule="auto"/>
    </w:pPr>
    <w:tblPr>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a1"/>
    <w:uiPriority w:val="99"/>
    <w:qFormat/>
    <w:pPr>
      <w:spacing w:after="0" w:line="240" w:lineRule="auto"/>
    </w:pPr>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a1"/>
    <w:uiPriority w:val="99"/>
    <w:qFormat/>
    <w:pPr>
      <w:spacing w:after="0" w:line="240" w:lineRule="auto"/>
    </w:pPr>
    <w:tblPr>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a1"/>
    <w:uiPriority w:val="99"/>
    <w:qFormat/>
    <w:pPr>
      <w:spacing w:after="0" w:line="240" w:lineRule="auto"/>
    </w:pPr>
    <w:tblPr>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1">
    <w:name w:val="Список таблиці 41"/>
    <w:basedOn w:val="a1"/>
    <w:uiPriority w:val="9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a1"/>
    <w:uiPriority w:val="99"/>
    <w:qFormat/>
    <w:pPr>
      <w:spacing w:after="0" w:line="240" w:lineRule="auto"/>
    </w:pPr>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1">
    <w:name w:val="List Table 4 - Accent 21"/>
    <w:basedOn w:val="a1"/>
    <w:uiPriority w:val="99"/>
    <w:qFormat/>
    <w:pPr>
      <w:spacing w:after="0" w:line="240" w:lineRule="auto"/>
    </w:pPr>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a1"/>
    <w:uiPriority w:val="99"/>
    <w:qFormat/>
    <w:pPr>
      <w:spacing w:after="0" w:line="240" w:lineRule="auto"/>
    </w:pPr>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a1"/>
    <w:uiPriority w:val="99"/>
    <w:qFormat/>
    <w:pPr>
      <w:spacing w:after="0" w:line="240" w:lineRule="auto"/>
    </w:pPr>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a1"/>
    <w:uiPriority w:val="99"/>
    <w:qFormat/>
    <w:pPr>
      <w:spacing w:after="0" w:line="240" w:lineRule="auto"/>
    </w:pPr>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1">
    <w:name w:val="List Table 4 - Accent 61"/>
    <w:basedOn w:val="a1"/>
    <w:uiPriority w:val="99"/>
    <w:qFormat/>
    <w:pPr>
      <w:spacing w:after="0" w:line="240" w:lineRule="auto"/>
    </w:pPr>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2">
    <w:name w:val="Список таблиці 5 (темний)1"/>
    <w:basedOn w:val="a1"/>
    <w:uiPriority w:val="99"/>
    <w:qFormat/>
    <w:pPr>
      <w:spacing w:after="0" w:line="240" w:lineRule="auto"/>
    </w:pPr>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a1"/>
    <w:uiPriority w:val="99"/>
    <w:qFormat/>
    <w:pPr>
      <w:spacing w:after="0" w:line="240" w:lineRule="auto"/>
    </w:pPr>
    <w:tblPr>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1">
    <w:name w:val="List Table 5 Dark - Accent 21"/>
    <w:basedOn w:val="a1"/>
    <w:uiPriority w:val="99"/>
    <w:qFormat/>
    <w:pPr>
      <w:spacing w:after="0" w:line="240" w:lineRule="auto"/>
    </w:pPr>
    <w:tblPr>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a1"/>
    <w:uiPriority w:val="99"/>
    <w:qFormat/>
    <w:pPr>
      <w:spacing w:after="0" w:line="240" w:lineRule="auto"/>
    </w:pPr>
    <w:tblPr>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a1"/>
    <w:uiPriority w:val="99"/>
    <w:qFormat/>
    <w:pPr>
      <w:spacing w:after="0" w:line="240" w:lineRule="auto"/>
    </w:pPr>
    <w:tblPr>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a1"/>
    <w:uiPriority w:val="99"/>
    <w:qFormat/>
    <w:pPr>
      <w:spacing w:after="0" w:line="240" w:lineRule="auto"/>
    </w:pPr>
    <w:tblPr>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1">
    <w:name w:val="List Table 5 Dark - Accent 61"/>
    <w:basedOn w:val="a1"/>
    <w:uiPriority w:val="99"/>
    <w:qFormat/>
    <w:pPr>
      <w:spacing w:after="0" w:line="240" w:lineRule="auto"/>
    </w:pPr>
    <w:tblPr>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1">
    <w:name w:val="Список таблиці 6 (кольоровий)1"/>
    <w:basedOn w:val="a1"/>
    <w:uiPriority w:val="99"/>
    <w:qFormat/>
    <w:pPr>
      <w:spacing w:after="0" w:line="240" w:lineRule="auto"/>
    </w:pPr>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a1"/>
    <w:uiPriority w:val="99"/>
    <w:qFormat/>
    <w:pPr>
      <w:spacing w:after="0" w:line="240" w:lineRule="auto"/>
    </w:pPr>
    <w:tblPr>
      <w:tblBorders>
        <w:top w:val="single" w:sz="4" w:space="0" w:color="5B9BD5" w:themeColor="accent1"/>
        <w:bottom w:val="single" w:sz="4" w:space="0" w:color="5B9BD5" w:themeColor="accent1"/>
      </w:tblBorders>
    </w:tblPr>
    <w:tblStylePr w:type="firstRow">
      <w:rPr>
        <w:b/>
        <w:color w:val="245A8C" w:themeColor="accent1" w:themeShade="94"/>
      </w:rPr>
      <w:tblPr/>
      <w:tcPr>
        <w:tcBorders>
          <w:bottom w:val="single" w:sz="4" w:space="0" w:color="5B9BD5" w:themeColor="accent1"/>
        </w:tcBorders>
      </w:tcPr>
    </w:tblStylePr>
    <w:tblStylePr w:type="lastRow">
      <w:rPr>
        <w:b/>
        <w:color w:val="245A8C" w:themeColor="accent1" w:themeShade="94"/>
      </w:rPr>
      <w:tblPr/>
      <w:tcPr>
        <w:tcBorders>
          <w:top w:val="single" w:sz="4" w:space="0" w:color="5B9BD5" w:themeColor="accent1"/>
        </w:tcBorders>
      </w:tcPr>
    </w:tblStylePr>
    <w:tblStylePr w:type="firstCol">
      <w:rPr>
        <w:b/>
        <w:color w:val="245A8C" w:themeColor="accent1" w:themeShade="94"/>
      </w:rPr>
    </w:tblStylePr>
    <w:tblStylePr w:type="lastCol">
      <w:rPr>
        <w:b/>
        <w:color w:val="245A8C" w:themeColor="accent1" w:themeShade="94"/>
      </w:rPr>
    </w:tblStylePr>
    <w:tblStylePr w:type="band1Vert">
      <w:tblPr/>
      <w:tcPr>
        <w:shd w:val="clear" w:color="D5E5F4" w:themeColor="accent1" w:themeTint="40" w:fill="D5E5F4" w:themeFill="accent1" w:themeFillTint="40"/>
      </w:tcPr>
    </w:tblStylePr>
    <w:tblStylePr w:type="band1Horz">
      <w:rPr>
        <w:rFonts w:ascii="Arial" w:hAnsi="Arial"/>
        <w:color w:val="245A8C" w:themeColor="accent1" w:themeShade="94"/>
        <w:sz w:val="22"/>
      </w:rPr>
      <w:tblPr/>
      <w:tcPr>
        <w:shd w:val="clear" w:color="D5E5F4" w:themeColor="accent1" w:themeTint="40" w:fill="D5E5F4" w:themeFill="accent1" w:themeFillTint="40"/>
      </w:tcPr>
    </w:tblStylePr>
    <w:tblStylePr w:type="band2Horz">
      <w:rPr>
        <w:rFonts w:ascii="Arial" w:hAnsi="Arial"/>
        <w:color w:val="245A8C" w:themeColor="accent1" w:themeShade="94"/>
        <w:sz w:val="22"/>
      </w:rPr>
    </w:tblStylePr>
  </w:style>
  <w:style w:type="table" w:customStyle="1" w:styleId="ListTable6Colorful-Accent21">
    <w:name w:val="List Table 6 Colorful - Accent 21"/>
    <w:basedOn w:val="a1"/>
    <w:uiPriority w:val="99"/>
    <w:qFormat/>
    <w:pPr>
      <w:spacing w:after="0" w:line="240" w:lineRule="auto"/>
    </w:pPr>
    <w:tblPr>
      <w:tblBorders>
        <w:top w:val="single" w:sz="4" w:space="0" w:color="F4B184" w:themeColor="accent2" w:themeTint="97"/>
        <w:bottom w:val="single" w:sz="4" w:space="0" w:color="F4B184" w:themeColor="accent2" w:themeTint="97"/>
      </w:tblBorders>
    </w:tblPr>
    <w:tblStylePr w:type="firstRow">
      <w:rPr>
        <w:b/>
        <w:color w:val="F4B285" w:themeColor="accent2" w:themeTint="96"/>
      </w:rPr>
      <w:tblPr/>
      <w:tcPr>
        <w:tcBorders>
          <w:bottom w:val="single" w:sz="4" w:space="0" w:color="F4B184" w:themeColor="accent2" w:themeTint="97"/>
        </w:tcBorders>
      </w:tcPr>
    </w:tblStylePr>
    <w:tblStylePr w:type="lastRow">
      <w:rPr>
        <w:b/>
        <w:color w:val="F4B285" w:themeColor="accent2" w:themeTint="96"/>
      </w:rPr>
      <w:tblPr/>
      <w:tcPr>
        <w:tcBorders>
          <w:top w:val="single" w:sz="4" w:space="0" w:color="F4B184" w:themeColor="accent2" w:themeTint="97"/>
        </w:tcBorders>
      </w:tcPr>
    </w:tblStylePr>
    <w:tblStylePr w:type="firstCol">
      <w:rPr>
        <w:b/>
        <w:color w:val="F4B285" w:themeColor="accent2" w:themeTint="96"/>
      </w:rPr>
    </w:tblStylePr>
    <w:tblStylePr w:type="lastCol">
      <w:rPr>
        <w:b/>
        <w:color w:val="F4B285" w:themeColor="accent2" w:themeTint="96"/>
      </w:rPr>
    </w:tblStylePr>
    <w:tblStylePr w:type="band1Vert">
      <w:tblPr/>
      <w:tcPr>
        <w:shd w:val="clear" w:color="FADECB" w:themeColor="accent2" w:themeTint="40" w:fill="FADECB" w:themeFill="accent2" w:themeFillTint="40"/>
      </w:tcPr>
    </w:tblStylePr>
    <w:tblStylePr w:type="band1Horz">
      <w:rPr>
        <w:rFonts w:ascii="Arial" w:hAnsi="Arial"/>
        <w:color w:val="F4B285" w:themeColor="accent2" w:themeTint="96"/>
        <w:sz w:val="22"/>
      </w:rPr>
      <w:tblPr/>
      <w:tcPr>
        <w:shd w:val="clear" w:color="FADECB" w:themeColor="accent2" w:themeTint="40" w:fill="FADECB" w:themeFill="accent2" w:themeFillTint="40"/>
      </w:tcPr>
    </w:tblStylePr>
    <w:tblStylePr w:type="band2Horz">
      <w:rPr>
        <w:rFonts w:ascii="Arial" w:hAnsi="Arial"/>
        <w:color w:val="F4B285" w:themeColor="accent2" w:themeTint="96"/>
        <w:sz w:val="22"/>
      </w:rPr>
    </w:tblStylePr>
  </w:style>
  <w:style w:type="table" w:customStyle="1" w:styleId="ListTable6Colorful-Accent31">
    <w:name w:val="List Table 6 Colorful - Accent 31"/>
    <w:basedOn w:val="a1"/>
    <w:uiPriority w:val="99"/>
    <w:qFormat/>
    <w:pPr>
      <w:spacing w:after="0" w:line="240" w:lineRule="auto"/>
    </w:pPr>
    <w:tblPr>
      <w:tblBorders>
        <w:top w:val="single" w:sz="4" w:space="0" w:color="C9C9C9" w:themeColor="accent3" w:themeTint="98"/>
        <w:bottom w:val="single" w:sz="4" w:space="0" w:color="C9C9C9" w:themeColor="accent3" w:themeTint="98"/>
      </w:tblBorders>
    </w:tblPr>
    <w:tblStylePr w:type="firstRow">
      <w:rPr>
        <w:b/>
        <w:color w:val="C9C9C9" w:themeColor="accent3" w:themeTint="99"/>
      </w:rPr>
      <w:tblPr/>
      <w:tcPr>
        <w:tcBorders>
          <w:bottom w:val="single" w:sz="4" w:space="0" w:color="C9C9C9" w:themeColor="accent3" w:themeTint="98"/>
        </w:tcBorders>
      </w:tcPr>
    </w:tblStylePr>
    <w:tblStylePr w:type="lastRow">
      <w:rPr>
        <w:b/>
        <w:color w:val="C9C9C9" w:themeColor="accent3" w:themeTint="99"/>
      </w:rPr>
      <w:tblPr/>
      <w:tcPr>
        <w:tcBorders>
          <w:top w:val="single" w:sz="4" w:space="0" w:color="C9C9C9" w:themeColor="accent3" w:themeTint="98"/>
        </w:tcBorders>
      </w:tcPr>
    </w:tblStylePr>
    <w:tblStylePr w:type="firstCol">
      <w:rPr>
        <w:b/>
        <w:color w:val="C9C9C9" w:themeColor="accent3" w:themeTint="99"/>
      </w:rPr>
    </w:tblStylePr>
    <w:tblStylePr w:type="lastCol">
      <w:rPr>
        <w:b/>
        <w:color w:val="C9C9C9" w:themeColor="accent3" w:themeTint="99"/>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9"/>
        <w:sz w:val="22"/>
      </w:rPr>
      <w:tblPr/>
      <w:tcPr>
        <w:shd w:val="clear" w:color="E8E8E8" w:themeColor="accent3" w:themeTint="40" w:fill="E8E8E8" w:themeFill="accent3" w:themeFillTint="40"/>
      </w:tcPr>
    </w:tblStylePr>
    <w:tblStylePr w:type="band2Horz">
      <w:rPr>
        <w:rFonts w:ascii="Arial" w:hAnsi="Arial"/>
        <w:color w:val="C9C9C9" w:themeColor="accent3" w:themeTint="99"/>
        <w:sz w:val="22"/>
      </w:rPr>
    </w:tblStylePr>
  </w:style>
  <w:style w:type="table" w:customStyle="1" w:styleId="ListTable6Colorful-Accent41">
    <w:name w:val="List Table 6 Colorful - Accent 41"/>
    <w:basedOn w:val="a1"/>
    <w:uiPriority w:val="99"/>
    <w:qFormat/>
    <w:pPr>
      <w:spacing w:after="0" w:line="240" w:lineRule="auto"/>
    </w:pPr>
    <w:tblPr>
      <w:tblBorders>
        <w:top w:val="single" w:sz="4" w:space="0" w:color="FFD865" w:themeColor="accent4" w:themeTint="9A"/>
        <w:bottom w:val="single" w:sz="4" w:space="0" w:color="FFD865" w:themeColor="accent4" w:themeTint="9A"/>
      </w:tblBorders>
    </w:tblPr>
    <w:tblStylePr w:type="firstRow">
      <w:rPr>
        <w:b/>
        <w:color w:val="FFD966" w:themeColor="accent4" w:themeTint="99"/>
      </w:rPr>
      <w:tblPr/>
      <w:tcPr>
        <w:tcBorders>
          <w:bottom w:val="single" w:sz="4" w:space="0" w:color="FFD865" w:themeColor="accent4" w:themeTint="9A"/>
        </w:tcBorders>
      </w:tcPr>
    </w:tblStylePr>
    <w:tblStylePr w:type="lastRow">
      <w:rPr>
        <w:b/>
        <w:color w:val="FFD966" w:themeColor="accent4" w:themeTint="99"/>
      </w:rPr>
      <w:tblPr/>
      <w:tcPr>
        <w:tcBorders>
          <w:top w:val="single" w:sz="4" w:space="0" w:color="FFD865" w:themeColor="accent4" w:themeTint="9A"/>
        </w:tcBorders>
      </w:tcPr>
    </w:tblStylePr>
    <w:tblStylePr w:type="firstCol">
      <w:rPr>
        <w:b/>
        <w:color w:val="FFD966" w:themeColor="accent4" w:themeTint="99"/>
      </w:rPr>
    </w:tblStylePr>
    <w:tblStylePr w:type="lastCol">
      <w:rPr>
        <w:b/>
        <w:color w:val="FFD966" w:themeColor="accent4" w:themeTint="99"/>
      </w:rPr>
    </w:tblStylePr>
    <w:tblStylePr w:type="band1Vert">
      <w:tblPr/>
      <w:tcPr>
        <w:shd w:val="clear" w:color="FFEFBF" w:themeColor="accent4" w:themeTint="40" w:fill="FFEFBF" w:themeFill="accent4" w:themeFillTint="40"/>
      </w:tcPr>
    </w:tblStylePr>
    <w:tblStylePr w:type="band1Horz">
      <w:rPr>
        <w:rFonts w:ascii="Arial" w:hAnsi="Arial"/>
        <w:color w:val="FFD966" w:themeColor="accent4" w:themeTint="99"/>
        <w:sz w:val="22"/>
      </w:rPr>
      <w:tblPr/>
      <w:tcPr>
        <w:shd w:val="clear" w:color="FFEFBF" w:themeColor="accent4" w:themeTint="40" w:fill="FFEFBF" w:themeFill="accent4" w:themeFillTint="40"/>
      </w:tcPr>
    </w:tblStylePr>
    <w:tblStylePr w:type="band2Horz">
      <w:rPr>
        <w:rFonts w:ascii="Arial" w:hAnsi="Arial"/>
        <w:color w:val="FFD966" w:themeColor="accent4" w:themeTint="99"/>
        <w:sz w:val="22"/>
      </w:rPr>
    </w:tblStylePr>
  </w:style>
  <w:style w:type="table" w:customStyle="1" w:styleId="ListTable6Colorful-Accent51">
    <w:name w:val="List Table 6 Colorful - Accent 51"/>
    <w:basedOn w:val="a1"/>
    <w:uiPriority w:val="99"/>
    <w:qFormat/>
    <w:pPr>
      <w:spacing w:after="0" w:line="240" w:lineRule="auto"/>
    </w:pPr>
    <w:tblPr>
      <w:tblBorders>
        <w:top w:val="single" w:sz="4" w:space="0" w:color="8DA9DB" w:themeColor="accent5" w:themeTint="9A"/>
        <w:bottom w:val="single" w:sz="4" w:space="0" w:color="8DA9DB" w:themeColor="accent5" w:themeTint="9A"/>
      </w:tblBorders>
    </w:tblPr>
    <w:tblStylePr w:type="firstRow">
      <w:rPr>
        <w:b/>
        <w:color w:val="8EAADB" w:themeColor="accent5" w:themeTint="99"/>
      </w:rPr>
      <w:tblPr/>
      <w:tcPr>
        <w:tcBorders>
          <w:bottom w:val="single" w:sz="4" w:space="0" w:color="8DA9DB" w:themeColor="accent5" w:themeTint="9A"/>
        </w:tcBorders>
      </w:tcPr>
    </w:tblStylePr>
    <w:tblStylePr w:type="lastRow">
      <w:rPr>
        <w:b/>
        <w:color w:val="8EAADB" w:themeColor="accent5" w:themeTint="99"/>
      </w:rPr>
      <w:tblPr/>
      <w:tcPr>
        <w:tcBorders>
          <w:top w:val="single" w:sz="4" w:space="0" w:color="8DA9DB" w:themeColor="accent5" w:themeTint="9A"/>
        </w:tcBorders>
      </w:tcPr>
    </w:tblStylePr>
    <w:tblStylePr w:type="firstCol">
      <w:rPr>
        <w:b/>
        <w:color w:val="8EAADB" w:themeColor="accent5" w:themeTint="99"/>
      </w:rPr>
    </w:tblStylePr>
    <w:tblStylePr w:type="lastCol">
      <w:rPr>
        <w:b/>
        <w:color w:val="8EAADB" w:themeColor="accent5" w:themeTint="99"/>
      </w:rPr>
    </w:tblStylePr>
    <w:tblStylePr w:type="band1Vert">
      <w:tblPr/>
      <w:tcPr>
        <w:shd w:val="clear" w:color="CFDBF0" w:themeColor="accent5" w:themeTint="40" w:fill="CFDBF0" w:themeFill="accent5" w:themeFillTint="40"/>
      </w:tcPr>
    </w:tblStylePr>
    <w:tblStylePr w:type="band1Horz">
      <w:rPr>
        <w:rFonts w:ascii="Arial" w:hAnsi="Arial"/>
        <w:color w:val="8EAADB" w:themeColor="accent5" w:themeTint="99"/>
        <w:sz w:val="22"/>
      </w:rPr>
      <w:tblPr/>
      <w:tcPr>
        <w:shd w:val="clear" w:color="CFDBF0" w:themeColor="accent5" w:themeTint="40" w:fill="CFDBF0" w:themeFill="accent5" w:themeFillTint="40"/>
      </w:tcPr>
    </w:tblStylePr>
    <w:tblStylePr w:type="band2Horz">
      <w:rPr>
        <w:rFonts w:ascii="Arial" w:hAnsi="Arial"/>
        <w:color w:val="8EAADB" w:themeColor="accent5" w:themeTint="99"/>
        <w:sz w:val="22"/>
      </w:rPr>
    </w:tblStylePr>
  </w:style>
  <w:style w:type="table" w:customStyle="1" w:styleId="ListTable6Colorful-Accent61">
    <w:name w:val="List Table 6 Colorful - Accent 61"/>
    <w:basedOn w:val="a1"/>
    <w:uiPriority w:val="99"/>
    <w:qFormat/>
    <w:pPr>
      <w:spacing w:after="0" w:line="240" w:lineRule="auto"/>
    </w:pPr>
    <w:tblPr>
      <w:tblBorders>
        <w:top w:val="single" w:sz="4" w:space="0" w:color="A9D08E" w:themeColor="accent6" w:themeTint="98"/>
        <w:bottom w:val="single" w:sz="4" w:space="0" w:color="A9D08E" w:themeColor="accent6" w:themeTint="98"/>
      </w:tblBorders>
    </w:tblPr>
    <w:tblStylePr w:type="firstRow">
      <w:rPr>
        <w:b/>
        <w:color w:val="A8D08D" w:themeColor="accent6" w:themeTint="99"/>
      </w:rPr>
      <w:tblPr/>
      <w:tcPr>
        <w:tcBorders>
          <w:bottom w:val="single" w:sz="4" w:space="0" w:color="A9D08E" w:themeColor="accent6" w:themeTint="98"/>
        </w:tcBorders>
      </w:tcPr>
    </w:tblStylePr>
    <w:tblStylePr w:type="lastRow">
      <w:rPr>
        <w:b/>
        <w:color w:val="A8D08D" w:themeColor="accent6" w:themeTint="99"/>
      </w:rPr>
      <w:tblPr/>
      <w:tcPr>
        <w:tcBorders>
          <w:top w:val="single" w:sz="4" w:space="0" w:color="A9D08E" w:themeColor="accent6" w:themeTint="98"/>
        </w:tcBorders>
      </w:tcPr>
    </w:tblStylePr>
    <w:tblStylePr w:type="firstCol">
      <w:rPr>
        <w:b/>
        <w:color w:val="A8D08D" w:themeColor="accent6" w:themeTint="99"/>
      </w:rPr>
    </w:tblStylePr>
    <w:tblStylePr w:type="lastCol">
      <w:rPr>
        <w:b/>
        <w:color w:val="A8D08D" w:themeColor="accent6" w:themeTint="99"/>
      </w:rPr>
    </w:tblStylePr>
    <w:tblStylePr w:type="band1Vert">
      <w:tblPr/>
      <w:tcPr>
        <w:shd w:val="clear" w:color="DAEBCF" w:themeColor="accent6" w:themeTint="40" w:fill="DAEBCF" w:themeFill="accent6" w:themeFillTint="40"/>
      </w:tcPr>
    </w:tblStylePr>
    <w:tblStylePr w:type="band1Horz">
      <w:rPr>
        <w:rFonts w:ascii="Arial" w:hAnsi="Arial"/>
        <w:color w:val="A8D08D" w:themeColor="accent6" w:themeTint="99"/>
        <w:sz w:val="22"/>
      </w:rPr>
      <w:tblPr/>
      <w:tcPr>
        <w:shd w:val="clear" w:color="DAEBCF" w:themeColor="accent6" w:themeTint="40" w:fill="DAEBCF" w:themeFill="accent6" w:themeFillTint="40"/>
      </w:tcPr>
    </w:tblStylePr>
    <w:tblStylePr w:type="band2Horz">
      <w:rPr>
        <w:rFonts w:ascii="Arial" w:hAnsi="Arial"/>
        <w:color w:val="A8D08D" w:themeColor="accent6" w:themeTint="99"/>
        <w:sz w:val="22"/>
      </w:rPr>
    </w:tblStylePr>
  </w:style>
  <w:style w:type="table" w:customStyle="1" w:styleId="711">
    <w:name w:val="Список таблиці 7 (кольоровий)1"/>
    <w:basedOn w:val="a1"/>
    <w:uiPriority w:val="99"/>
    <w:qFormat/>
    <w:pPr>
      <w:spacing w:after="0" w:line="240" w:lineRule="auto"/>
    </w:pPr>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1">
    <w:name w:val="List Table 7 Colorful - Accent 11"/>
    <w:basedOn w:val="a1"/>
    <w:uiPriority w:val="99"/>
    <w:qFormat/>
    <w:pPr>
      <w:spacing w:after="0" w:line="240" w:lineRule="auto"/>
    </w:pPr>
    <w:tblPr>
      <w:tblBorders>
        <w:right w:val="single" w:sz="4" w:space="0" w:color="5B9BD5" w:themeColor="accent1"/>
      </w:tblBorders>
    </w:tblPr>
    <w:tblStylePr w:type="firstRow">
      <w:rPr>
        <w:rFonts w:ascii="Arial" w:hAnsi="Arial"/>
        <w:i/>
        <w:color w:val="245A8C" w:themeColor="accent1" w:themeShade="94"/>
        <w:sz w:val="22"/>
      </w:rPr>
      <w:tblPr/>
      <w:tcPr>
        <w:tcBorders>
          <w:top w:val="nil"/>
          <w:left w:val="nil"/>
          <w:bottom w:val="single" w:sz="4" w:space="0" w:color="5B9BD5" w:themeColor="accent1"/>
          <w:right w:val="nil"/>
        </w:tcBorders>
        <w:shd w:val="clear" w:color="FFFFFF" w:themeColor="light1" w:fill="FFFFFF" w:themeFill="light1"/>
      </w:tcPr>
    </w:tblStylePr>
    <w:tblStylePr w:type="lastRow">
      <w:rPr>
        <w:rFonts w:ascii="Arial" w:hAnsi="Arial"/>
        <w:i/>
        <w:color w:val="245A8C" w:themeColor="accent1" w:themeShade="94"/>
        <w:sz w:val="22"/>
      </w:rPr>
      <w:tblPr/>
      <w:tcPr>
        <w:tcBorders>
          <w:top w:val="single" w:sz="4" w:space="0" w:color="5B9BD5" w:themeColor="accent1"/>
          <w:left w:val="nil"/>
          <w:bottom w:val="nil"/>
          <w:right w:val="nil"/>
        </w:tcBorders>
        <w:shd w:val="clear" w:color="FFFFFF" w:themeColor="light1" w:fill="FFFFFF" w:themeFill="light1"/>
      </w:tcPr>
    </w:tblStylePr>
    <w:tblStylePr w:type="firstCol">
      <w:pPr>
        <w:jc w:val="right"/>
      </w:pPr>
      <w:rPr>
        <w:rFonts w:ascii="Arial" w:hAnsi="Arial"/>
        <w:i/>
        <w:color w:val="245A8C" w:themeColor="accent1" w:themeShade="94"/>
        <w:sz w:val="22"/>
      </w:rPr>
      <w:tblPr/>
      <w:tcPr>
        <w:tcBorders>
          <w:top w:val="nil"/>
          <w:left w:val="nil"/>
          <w:bottom w:val="nil"/>
          <w:right w:val="single" w:sz="4" w:space="0" w:color="5B9BD5" w:themeColor="accent1"/>
        </w:tcBorders>
        <w:shd w:val="clear" w:color="FFFFFF" w:fill="auto"/>
      </w:tcPr>
    </w:tblStylePr>
    <w:tblStylePr w:type="lastCol">
      <w:rPr>
        <w:rFonts w:ascii="Arial" w:hAnsi="Arial"/>
        <w:i/>
        <w:color w:val="245A8C" w:themeColor="accent1" w:themeShade="94"/>
        <w:sz w:val="22"/>
      </w:rPr>
      <w:tblPr/>
      <w:tcPr>
        <w:tcBorders>
          <w:top w:val="nil"/>
          <w:left w:val="single" w:sz="4" w:space="0" w:color="5B9BD5" w:themeColor="accent1"/>
          <w:bottom w:val="nil"/>
          <w:right w:val="nil"/>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C" w:themeColor="accent1" w:themeShade="94"/>
        <w:sz w:val="22"/>
      </w:rPr>
      <w:tblPr/>
      <w:tcPr>
        <w:shd w:val="clear" w:color="D5E5F4" w:themeColor="accent1" w:themeTint="40" w:fill="D5E5F4" w:themeFill="accent1" w:themeFillTint="40"/>
      </w:tcPr>
    </w:tblStylePr>
    <w:tblStylePr w:type="band2Horz">
      <w:rPr>
        <w:rFonts w:ascii="Arial" w:hAnsi="Arial"/>
        <w:color w:val="245A8C" w:themeColor="accent1" w:themeShade="94"/>
        <w:sz w:val="22"/>
      </w:rPr>
    </w:tblStylePr>
  </w:style>
  <w:style w:type="table" w:customStyle="1" w:styleId="ListTable7Colorful-Accent21">
    <w:name w:val="List Table 7 Colorful - Accent 21"/>
    <w:basedOn w:val="a1"/>
    <w:uiPriority w:val="99"/>
    <w:qFormat/>
    <w:pPr>
      <w:spacing w:after="0" w:line="240" w:lineRule="auto"/>
    </w:pPr>
    <w:tblPr>
      <w:tblBorders>
        <w:right w:val="single" w:sz="4" w:space="0" w:color="F4B184" w:themeColor="accent2" w:themeTint="97"/>
      </w:tblBorders>
    </w:tblPr>
    <w:tblStylePr w:type="firstRow">
      <w:rPr>
        <w:rFonts w:ascii="Arial" w:hAnsi="Arial"/>
        <w:i/>
        <w:color w:val="F4B285" w:themeColor="accent2" w:themeTint="96"/>
        <w:sz w:val="22"/>
      </w:rPr>
      <w:tblPr/>
      <w:tcPr>
        <w:tcBorders>
          <w:top w:val="nil"/>
          <w:left w:val="nil"/>
          <w:bottom w:val="single" w:sz="4" w:space="0" w:color="F4B184" w:themeColor="accent2" w:themeTint="97"/>
          <w:right w:val="nil"/>
        </w:tcBorders>
        <w:shd w:val="clear" w:color="FFFFFF" w:themeColor="light1" w:fill="FFFFFF" w:themeFill="light1"/>
      </w:tcPr>
    </w:tblStylePr>
    <w:tblStylePr w:type="lastRow">
      <w:rPr>
        <w:rFonts w:ascii="Arial" w:hAnsi="Arial"/>
        <w:i/>
        <w:color w:val="F4B285" w:themeColor="accent2" w:themeTint="96"/>
        <w:sz w:val="22"/>
      </w:rPr>
      <w:tblPr/>
      <w:tcPr>
        <w:tcBorders>
          <w:top w:val="single" w:sz="4" w:space="0" w:color="F4B184"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rPr>
      <w:tblPr/>
      <w:tcPr>
        <w:tcBorders>
          <w:top w:val="nil"/>
          <w:left w:val="nil"/>
          <w:bottom w:val="nil"/>
          <w:right w:val="single" w:sz="4" w:space="0" w:color="F4B184" w:themeColor="accent2" w:themeTint="97"/>
        </w:tcBorders>
        <w:shd w:val="clear" w:color="FFFFFF" w:fill="auto"/>
      </w:tcPr>
    </w:tblStylePr>
    <w:tblStylePr w:type="lastCol">
      <w:rPr>
        <w:rFonts w:ascii="Arial" w:hAnsi="Arial"/>
        <w:i/>
        <w:color w:val="F4B285" w:themeColor="accent2" w:themeTint="96"/>
        <w:sz w:val="22"/>
      </w:rPr>
      <w:tblPr/>
      <w:tcPr>
        <w:tcBorders>
          <w:top w:val="nil"/>
          <w:left w:val="single" w:sz="4" w:space="0" w:color="F4B184" w:themeColor="accent2" w:themeTint="97"/>
          <w:bottom w:val="nil"/>
          <w:right w:val="nil"/>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285" w:themeColor="accent2" w:themeTint="96"/>
        <w:sz w:val="22"/>
      </w:rPr>
      <w:tblPr/>
      <w:tcPr>
        <w:shd w:val="clear" w:color="FADECB" w:themeColor="accent2" w:themeTint="40" w:fill="FADECB" w:themeFill="accent2" w:themeFillTint="40"/>
      </w:tcPr>
    </w:tblStylePr>
    <w:tblStylePr w:type="band2Horz">
      <w:rPr>
        <w:rFonts w:ascii="Arial" w:hAnsi="Arial"/>
        <w:color w:val="F4B285" w:themeColor="accent2" w:themeTint="96"/>
        <w:sz w:val="22"/>
      </w:rPr>
    </w:tblStylePr>
  </w:style>
  <w:style w:type="table" w:customStyle="1" w:styleId="ListTable7Colorful-Accent31">
    <w:name w:val="List Table 7 Colorful - Accent 31"/>
    <w:basedOn w:val="a1"/>
    <w:uiPriority w:val="99"/>
    <w:qFormat/>
    <w:pPr>
      <w:spacing w:after="0" w:line="240" w:lineRule="auto"/>
    </w:pPr>
    <w:tblPr>
      <w:tblBorders>
        <w:right w:val="single" w:sz="4" w:space="0" w:color="C9C9C9" w:themeColor="accent3" w:themeTint="98"/>
      </w:tblBorders>
    </w:tblPr>
    <w:tblStylePr w:type="firstRow">
      <w:rPr>
        <w:rFonts w:ascii="Arial" w:hAnsi="Arial"/>
        <w:i/>
        <w:color w:val="C9C9C9" w:themeColor="accent3" w:themeTint="99"/>
        <w:sz w:val="22"/>
      </w:rPr>
      <w:tblPr/>
      <w:tcPr>
        <w:tcBorders>
          <w:top w:val="nil"/>
          <w:left w:val="nil"/>
          <w:bottom w:val="single" w:sz="4" w:space="0" w:color="C9C9C9" w:themeColor="accent3" w:themeTint="98"/>
          <w:right w:val="nil"/>
        </w:tcBorders>
        <w:shd w:val="clear" w:color="FFFFFF" w:themeColor="light1" w:fill="FFFFFF" w:themeFill="light1"/>
      </w:tcPr>
    </w:tblStylePr>
    <w:tblStylePr w:type="lastRow">
      <w:rPr>
        <w:rFonts w:ascii="Arial" w:hAnsi="Arial"/>
        <w:i/>
        <w:color w:val="C9C9C9" w:themeColor="accent3" w:themeTint="99"/>
        <w:sz w:val="22"/>
      </w:rPr>
      <w:tblPr/>
      <w:tcPr>
        <w:tcBorders>
          <w:top w:val="single" w:sz="4" w:space="0" w:color="C9C9C9"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9C9C9" w:themeColor="accent3" w:themeTint="99"/>
        <w:sz w:val="22"/>
      </w:rPr>
      <w:tblPr/>
      <w:tcPr>
        <w:tcBorders>
          <w:top w:val="nil"/>
          <w:left w:val="nil"/>
          <w:bottom w:val="nil"/>
          <w:right w:val="single" w:sz="4" w:space="0" w:color="C9C9C9" w:themeColor="accent3" w:themeTint="98"/>
        </w:tcBorders>
        <w:shd w:val="clear" w:color="FFFFFF" w:fill="auto"/>
      </w:tcPr>
    </w:tblStylePr>
    <w:tblStylePr w:type="lastCol">
      <w:rPr>
        <w:rFonts w:ascii="Arial" w:hAnsi="Arial"/>
        <w:i/>
        <w:color w:val="C9C9C9" w:themeColor="accent3" w:themeTint="99"/>
        <w:sz w:val="22"/>
      </w:rPr>
      <w:tblPr/>
      <w:tcPr>
        <w:tcBorders>
          <w:top w:val="nil"/>
          <w:left w:val="single" w:sz="4" w:space="0" w:color="C9C9C9" w:themeColor="accent3" w:themeTint="98"/>
          <w:bottom w:val="nil"/>
          <w:right w:val="nil"/>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9"/>
        <w:sz w:val="22"/>
      </w:rPr>
      <w:tblPr/>
      <w:tcPr>
        <w:shd w:val="clear" w:color="E8E8E8" w:themeColor="accent3" w:themeTint="40" w:fill="E8E8E8" w:themeFill="accent3" w:themeFillTint="40"/>
      </w:tcPr>
    </w:tblStylePr>
    <w:tblStylePr w:type="band2Horz">
      <w:rPr>
        <w:rFonts w:ascii="Arial" w:hAnsi="Arial"/>
        <w:color w:val="C9C9C9" w:themeColor="accent3" w:themeTint="99"/>
        <w:sz w:val="22"/>
      </w:rPr>
    </w:tblStylePr>
  </w:style>
  <w:style w:type="table" w:customStyle="1" w:styleId="ListTable7Colorful-Accent41">
    <w:name w:val="List Table 7 Colorful - Accent 41"/>
    <w:basedOn w:val="a1"/>
    <w:uiPriority w:val="99"/>
    <w:qFormat/>
    <w:pPr>
      <w:spacing w:after="0" w:line="240" w:lineRule="auto"/>
    </w:pPr>
    <w:tblPr>
      <w:tblBorders>
        <w:right w:val="single" w:sz="4" w:space="0" w:color="FFD865" w:themeColor="accent4" w:themeTint="9A"/>
      </w:tblBorders>
    </w:tblPr>
    <w:tblStylePr w:type="firstRow">
      <w:rPr>
        <w:rFonts w:ascii="Arial" w:hAnsi="Arial"/>
        <w:i/>
        <w:color w:val="FFD966" w:themeColor="accent4" w:themeTint="99"/>
        <w:sz w:val="22"/>
      </w:rPr>
      <w:tblPr/>
      <w:tcPr>
        <w:tcBorders>
          <w:top w:val="nil"/>
          <w:left w:val="nil"/>
          <w:bottom w:val="single" w:sz="4" w:space="0" w:color="FFD865" w:themeColor="accent4" w:themeTint="9A"/>
          <w:right w:val="nil"/>
        </w:tcBorders>
        <w:shd w:val="clear" w:color="FFFFFF" w:themeColor="light1" w:fill="FFFFFF" w:themeFill="light1"/>
      </w:tcPr>
    </w:tblStylePr>
    <w:tblStylePr w:type="lastRow">
      <w:rPr>
        <w:rFonts w:ascii="Arial" w:hAnsi="Arial"/>
        <w:i/>
        <w:color w:val="FFD966" w:themeColor="accent4" w:themeTint="99"/>
        <w:sz w:val="22"/>
      </w:rPr>
      <w:tblPr/>
      <w:tcPr>
        <w:tcBorders>
          <w:top w:val="single" w:sz="4" w:space="0" w:color="FFD865"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rPr>
      <w:tblPr/>
      <w:tcPr>
        <w:tcBorders>
          <w:top w:val="nil"/>
          <w:left w:val="nil"/>
          <w:bottom w:val="nil"/>
          <w:right w:val="single" w:sz="4" w:space="0" w:color="FFD865" w:themeColor="accent4" w:themeTint="9A"/>
        </w:tcBorders>
        <w:shd w:val="clear" w:color="FFFFFF" w:fill="auto"/>
      </w:tcPr>
    </w:tblStylePr>
    <w:tblStylePr w:type="lastCol">
      <w:rPr>
        <w:rFonts w:ascii="Arial" w:hAnsi="Arial"/>
        <w:i/>
        <w:color w:val="FFD966" w:themeColor="accent4" w:themeTint="99"/>
        <w:sz w:val="22"/>
      </w:rPr>
      <w:tblPr/>
      <w:tcPr>
        <w:tcBorders>
          <w:top w:val="nil"/>
          <w:left w:val="single" w:sz="4" w:space="0" w:color="FFD865" w:themeColor="accent4" w:themeTint="9A"/>
          <w:bottom w:val="nil"/>
          <w:right w:val="nil"/>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966" w:themeColor="accent4" w:themeTint="99"/>
        <w:sz w:val="22"/>
      </w:rPr>
      <w:tblPr/>
      <w:tcPr>
        <w:shd w:val="clear" w:color="FFEFBF" w:themeColor="accent4" w:themeTint="40" w:fill="FFEFBF" w:themeFill="accent4" w:themeFillTint="40"/>
      </w:tcPr>
    </w:tblStylePr>
    <w:tblStylePr w:type="band2Horz">
      <w:rPr>
        <w:rFonts w:ascii="Arial" w:hAnsi="Arial"/>
        <w:color w:val="FFD966" w:themeColor="accent4" w:themeTint="99"/>
        <w:sz w:val="22"/>
      </w:rPr>
    </w:tblStylePr>
  </w:style>
  <w:style w:type="table" w:customStyle="1" w:styleId="ListTable7Colorful-Accent51">
    <w:name w:val="List Table 7 Colorful - Accent 51"/>
    <w:basedOn w:val="a1"/>
    <w:uiPriority w:val="99"/>
    <w:qFormat/>
    <w:pPr>
      <w:spacing w:after="0" w:line="240" w:lineRule="auto"/>
    </w:pPr>
    <w:tblPr>
      <w:tblBorders>
        <w:right w:val="single" w:sz="4" w:space="0" w:color="8DA9DB" w:themeColor="accent5" w:themeTint="9A"/>
      </w:tblBorders>
    </w:tblPr>
    <w:tblStylePr w:type="firstRow">
      <w:rPr>
        <w:rFonts w:ascii="Arial" w:hAnsi="Arial"/>
        <w:i/>
        <w:color w:val="8EAADB" w:themeColor="accent5" w:themeTint="99"/>
        <w:sz w:val="22"/>
      </w:rPr>
      <w:tblPr/>
      <w:tcPr>
        <w:tcBorders>
          <w:top w:val="nil"/>
          <w:left w:val="nil"/>
          <w:bottom w:val="single" w:sz="4" w:space="0" w:color="8DA9DB" w:themeColor="accent5" w:themeTint="9A"/>
          <w:right w:val="nil"/>
        </w:tcBorders>
        <w:shd w:val="clear" w:color="FFFFFF" w:themeColor="light1" w:fill="FFFFFF" w:themeFill="light1"/>
      </w:tcPr>
    </w:tblStylePr>
    <w:tblStylePr w:type="lastRow">
      <w:rPr>
        <w:rFonts w:ascii="Arial" w:hAnsi="Arial"/>
        <w:i/>
        <w:color w:val="8EAADB" w:themeColor="accent5" w:themeTint="99"/>
        <w:sz w:val="22"/>
      </w:rPr>
      <w:tblPr/>
      <w:tcPr>
        <w:tcBorders>
          <w:top w:val="single" w:sz="4" w:space="0" w:color="8DA9DB"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8EAADB" w:themeColor="accent5" w:themeTint="99"/>
        <w:sz w:val="22"/>
      </w:rPr>
      <w:tblPr/>
      <w:tcPr>
        <w:tcBorders>
          <w:top w:val="nil"/>
          <w:left w:val="nil"/>
          <w:bottom w:val="nil"/>
          <w:right w:val="single" w:sz="4" w:space="0" w:color="8DA9DB" w:themeColor="accent5" w:themeTint="9A"/>
        </w:tcBorders>
        <w:shd w:val="clear" w:color="FFFFFF" w:fill="auto"/>
      </w:tcPr>
    </w:tblStylePr>
    <w:tblStylePr w:type="lastCol">
      <w:rPr>
        <w:rFonts w:ascii="Arial" w:hAnsi="Arial"/>
        <w:i/>
        <w:color w:val="8EAADB" w:themeColor="accent5" w:themeTint="99"/>
        <w:sz w:val="22"/>
      </w:rPr>
      <w:tblPr/>
      <w:tcPr>
        <w:tcBorders>
          <w:top w:val="nil"/>
          <w:left w:val="single" w:sz="4" w:space="0" w:color="8DA9DB" w:themeColor="accent5" w:themeTint="9A"/>
          <w:bottom w:val="nil"/>
          <w:right w:val="nil"/>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EAADB" w:themeColor="accent5" w:themeTint="99"/>
        <w:sz w:val="22"/>
      </w:rPr>
      <w:tblPr/>
      <w:tcPr>
        <w:shd w:val="clear" w:color="CFDBF0" w:themeColor="accent5" w:themeTint="40" w:fill="CFDBF0" w:themeFill="accent5" w:themeFillTint="40"/>
      </w:tcPr>
    </w:tblStylePr>
    <w:tblStylePr w:type="band2Horz">
      <w:rPr>
        <w:rFonts w:ascii="Arial" w:hAnsi="Arial"/>
        <w:color w:val="8EAADB" w:themeColor="accent5" w:themeTint="99"/>
        <w:sz w:val="22"/>
      </w:rPr>
    </w:tblStylePr>
  </w:style>
  <w:style w:type="table" w:customStyle="1" w:styleId="ListTable7Colorful-Accent61">
    <w:name w:val="List Table 7 Colorful - Accent 61"/>
    <w:basedOn w:val="a1"/>
    <w:uiPriority w:val="99"/>
    <w:qFormat/>
    <w:pPr>
      <w:spacing w:after="0" w:line="240" w:lineRule="auto"/>
    </w:pPr>
    <w:tblPr>
      <w:tblBorders>
        <w:right w:val="single" w:sz="4" w:space="0" w:color="A9D08E" w:themeColor="accent6" w:themeTint="98"/>
      </w:tblBorders>
    </w:tblPr>
    <w:tblStylePr w:type="firstRow">
      <w:rPr>
        <w:rFonts w:ascii="Arial" w:hAnsi="Arial"/>
        <w:i/>
        <w:color w:val="A8D08D" w:themeColor="accent6" w:themeTint="99"/>
        <w:sz w:val="22"/>
      </w:rPr>
      <w:tblPr/>
      <w:tcPr>
        <w:tcBorders>
          <w:top w:val="nil"/>
          <w:left w:val="nil"/>
          <w:bottom w:val="single" w:sz="4" w:space="0" w:color="A9D08E" w:themeColor="accent6" w:themeTint="98"/>
          <w:right w:val="nil"/>
        </w:tcBorders>
        <w:shd w:val="clear" w:color="FFFFFF" w:themeColor="light1" w:fill="FFFFFF" w:themeFill="light1"/>
      </w:tcPr>
    </w:tblStylePr>
    <w:tblStylePr w:type="lastRow">
      <w:rPr>
        <w:rFonts w:ascii="Arial" w:hAnsi="Arial"/>
        <w:i/>
        <w:color w:val="A8D08D" w:themeColor="accent6" w:themeTint="99"/>
        <w:sz w:val="22"/>
      </w:rPr>
      <w:tblPr/>
      <w:tcPr>
        <w:tcBorders>
          <w:top w:val="single" w:sz="4" w:space="0" w:color="A9D08E"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A8D08D" w:themeColor="accent6" w:themeTint="99"/>
        <w:sz w:val="22"/>
      </w:rPr>
      <w:tblPr/>
      <w:tcPr>
        <w:tcBorders>
          <w:top w:val="nil"/>
          <w:left w:val="nil"/>
          <w:bottom w:val="nil"/>
          <w:right w:val="single" w:sz="4" w:space="0" w:color="A9D08E" w:themeColor="accent6" w:themeTint="98"/>
        </w:tcBorders>
        <w:shd w:val="clear" w:color="FFFFFF" w:fill="auto"/>
      </w:tcPr>
    </w:tblStylePr>
    <w:tblStylePr w:type="lastCol">
      <w:rPr>
        <w:rFonts w:ascii="Arial" w:hAnsi="Arial"/>
        <w:i/>
        <w:color w:val="A8D08D" w:themeColor="accent6" w:themeTint="99"/>
        <w:sz w:val="22"/>
      </w:rPr>
      <w:tblPr/>
      <w:tcPr>
        <w:tcBorders>
          <w:top w:val="nil"/>
          <w:left w:val="single" w:sz="4" w:space="0" w:color="A9D08E" w:themeColor="accent6" w:themeTint="98"/>
          <w:bottom w:val="nil"/>
          <w:right w:val="nil"/>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8D08D" w:themeColor="accent6" w:themeTint="99"/>
        <w:sz w:val="22"/>
      </w:rPr>
      <w:tblPr/>
      <w:tcPr>
        <w:shd w:val="clear" w:color="DAEBCF" w:themeColor="accent6" w:themeTint="40" w:fill="DAEBCF" w:themeFill="accent6" w:themeFillTint="40"/>
      </w:tcPr>
    </w:tblStylePr>
    <w:tblStylePr w:type="band2Horz">
      <w:rPr>
        <w:rFonts w:ascii="Arial" w:hAnsi="Arial"/>
        <w:color w:val="A8D08D" w:themeColor="accent6" w:themeTint="99"/>
        <w:sz w:val="22"/>
      </w:rPr>
    </w:tblStylePr>
  </w:style>
  <w:style w:type="table" w:customStyle="1" w:styleId="Lined-Accent">
    <w:name w:val="Lined - Accent"/>
    <w:basedOn w:val="a1"/>
    <w:uiPriority w:val="99"/>
    <w:qFormat/>
    <w:pPr>
      <w:spacing w:after="0" w:line="240" w:lineRule="auto"/>
    </w:pPr>
    <w:rPr>
      <w:color w:val="404040"/>
    </w:rP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qFormat/>
    <w:pPr>
      <w:spacing w:after="0" w:line="240" w:lineRule="auto"/>
    </w:pPr>
    <w:rPr>
      <w:color w:val="404040"/>
    </w:rP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qFormat/>
    <w:pPr>
      <w:spacing w:after="0" w:line="240" w:lineRule="auto"/>
    </w:pPr>
    <w:rPr>
      <w:color w:val="404040"/>
    </w:rP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qFormat/>
    <w:pPr>
      <w:spacing w:after="0" w:line="240" w:lineRule="auto"/>
    </w:pPr>
    <w:rPr>
      <w:color w:val="404040"/>
    </w:rP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qFormat/>
    <w:pPr>
      <w:spacing w:after="0" w:line="240" w:lineRule="auto"/>
    </w:pPr>
    <w:rPr>
      <w:color w:val="404040"/>
    </w:rP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qFormat/>
    <w:pPr>
      <w:spacing w:after="0" w:line="240" w:lineRule="auto"/>
    </w:pPr>
    <w:rPr>
      <w:color w:val="404040"/>
    </w:rP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qFormat/>
    <w:pPr>
      <w:spacing w:after="0" w:line="240" w:lineRule="auto"/>
    </w:pPr>
    <w:rPr>
      <w:color w:val="404040"/>
    </w:rP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qFormat/>
    <w:pPr>
      <w:spacing w:after="0" w:line="240" w:lineRule="auto"/>
    </w:pPr>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qFormat/>
    <w:pPr>
      <w:spacing w:after="0" w:line="240" w:lineRule="auto"/>
    </w:pPr>
    <w:rPr>
      <w:color w:val="404040"/>
    </w:rPr>
    <w:tblPr>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qFormat/>
    <w:pPr>
      <w:spacing w:after="0" w:line="240" w:lineRule="auto"/>
    </w:pPr>
    <w:rPr>
      <w:color w:val="404040"/>
    </w:rPr>
    <w:tblPr>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qFormat/>
    <w:pPr>
      <w:spacing w:after="0" w:line="240" w:lineRule="auto"/>
    </w:pPr>
    <w:rPr>
      <w:color w:val="404040"/>
    </w:rPr>
    <w:tblPr>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qFormat/>
    <w:pPr>
      <w:spacing w:after="0" w:line="240" w:lineRule="auto"/>
    </w:pPr>
    <w:rPr>
      <w:color w:val="404040"/>
    </w:rPr>
    <w:tblPr>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qFormat/>
    <w:pPr>
      <w:spacing w:after="0" w:line="240" w:lineRule="auto"/>
    </w:pPr>
    <w:rPr>
      <w:color w:val="404040"/>
    </w:rPr>
    <w:tblPr>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qFormat/>
    <w:pPr>
      <w:spacing w:after="0" w:line="240" w:lineRule="auto"/>
    </w:pPr>
    <w:rPr>
      <w:color w:val="404040"/>
    </w:rPr>
    <w:tblPr>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qFormat/>
    <w:pPr>
      <w:spacing w:after="0" w:line="240" w:lineRule="auto"/>
    </w:pPr>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qFormat/>
    <w:pPr>
      <w:spacing w:after="0" w:line="240" w:lineRule="auto"/>
    </w:pPr>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qFormat/>
    <w:pPr>
      <w:spacing w:after="0" w:line="240" w:lineRule="auto"/>
    </w:pPr>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qFormat/>
    <w:pPr>
      <w:spacing w:after="0" w:line="240" w:lineRule="auto"/>
    </w:pPr>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qFormat/>
    <w:pPr>
      <w:spacing w:after="0" w:line="240" w:lineRule="auto"/>
    </w:pPr>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qFormat/>
    <w:pPr>
      <w:spacing w:after="0" w:line="240" w:lineRule="auto"/>
    </w:pPr>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qFormat/>
    <w:pPr>
      <w:spacing w:after="0" w:line="240" w:lineRule="auto"/>
    </w:pPr>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af">
    <w:name w:val="Текст виноски Знак"/>
    <w:link w:val="ae"/>
    <w:uiPriority w:val="99"/>
    <w:qFormat/>
    <w:rPr>
      <w:sz w:val="18"/>
    </w:rPr>
  </w:style>
  <w:style w:type="character" w:customStyle="1" w:styleId="ab">
    <w:name w:val="Текст кінцевої виноски Знак"/>
    <w:link w:val="aa"/>
    <w:uiPriority w:val="99"/>
    <w:qFormat/>
    <w:rPr>
      <w:sz w:val="20"/>
    </w:rPr>
  </w:style>
  <w:style w:type="paragraph" w:customStyle="1" w:styleId="15">
    <w:name w:val="Заголовок змісту1"/>
    <w:uiPriority w:val="39"/>
    <w:unhideWhenUsed/>
    <w:qFormat/>
    <w:rPr>
      <w:rFonts w:asciiTheme="minorHAnsi" w:eastAsiaTheme="minorHAnsi" w:hAnsiTheme="minorHAnsi" w:cstheme="minorBidi"/>
      <w:sz w:val="22"/>
      <w:szCs w:val="22"/>
      <w:lang w:eastAsia="en-US"/>
    </w:rPr>
  </w:style>
  <w:style w:type="paragraph" w:customStyle="1" w:styleId="16">
    <w:name w:val="Абзац списку1"/>
    <w:basedOn w:val="a"/>
    <w:uiPriority w:val="34"/>
    <w:qFormat/>
    <w:pPr>
      <w:ind w:left="720"/>
      <w:contextualSpacing/>
    </w:pPr>
  </w:style>
  <w:style w:type="character" w:customStyle="1" w:styleId="a7">
    <w:name w:val="Текст примітки Знак"/>
    <w:basedOn w:val="a0"/>
    <w:link w:val="a6"/>
    <w:uiPriority w:val="99"/>
    <w:qFormat/>
    <w:rPr>
      <w:rFonts w:ascii="Times New Roman" w:eastAsia="Times New Roman" w:hAnsi="Times New Roman" w:cs="Times New Roman"/>
      <w:sz w:val="20"/>
      <w:szCs w:val="20"/>
      <w:lang w:eastAsia="zh-CN"/>
    </w:rPr>
  </w:style>
  <w:style w:type="table" w:customStyle="1" w:styleId="StGen4">
    <w:name w:val="StGen4"/>
    <w:basedOn w:val="a1"/>
    <w:qFormat/>
    <w:pPr>
      <w:spacing w:after="0" w:line="240" w:lineRule="auto"/>
      <w:jc w:val="both"/>
    </w:pPr>
    <w:rPr>
      <w:rFonts w:eastAsia="Times New Roman"/>
      <w:sz w:val="28"/>
      <w:szCs w:val="28"/>
      <w:lang w:eastAsia="zh-CN"/>
    </w:rPr>
    <w:tblPr/>
  </w:style>
  <w:style w:type="table" w:customStyle="1" w:styleId="StGen5">
    <w:name w:val="StGen5"/>
    <w:basedOn w:val="a1"/>
    <w:qFormat/>
    <w:pPr>
      <w:spacing w:after="0" w:line="240" w:lineRule="auto"/>
      <w:jc w:val="both"/>
    </w:pPr>
    <w:rPr>
      <w:rFonts w:eastAsia="Times New Roman"/>
      <w:sz w:val="28"/>
      <w:szCs w:val="28"/>
      <w:lang w:eastAsia="zh-CN"/>
    </w:rPr>
    <w:tblPr/>
  </w:style>
  <w:style w:type="table" w:customStyle="1" w:styleId="StGen6">
    <w:name w:val="StGen6"/>
    <w:basedOn w:val="a1"/>
    <w:qFormat/>
    <w:pPr>
      <w:spacing w:after="0" w:line="240" w:lineRule="auto"/>
      <w:jc w:val="both"/>
    </w:pPr>
    <w:rPr>
      <w:rFonts w:eastAsia="Times New Roman"/>
      <w:sz w:val="28"/>
      <w:szCs w:val="28"/>
      <w:lang w:eastAsia="zh-CN"/>
    </w:rPr>
    <w:tblPr/>
  </w:style>
  <w:style w:type="table" w:customStyle="1" w:styleId="StGen7">
    <w:name w:val="StGen7"/>
    <w:basedOn w:val="a1"/>
    <w:qFormat/>
    <w:pPr>
      <w:spacing w:after="0" w:line="240" w:lineRule="auto"/>
      <w:jc w:val="both"/>
    </w:pPr>
    <w:rPr>
      <w:rFonts w:eastAsia="Times New Roman"/>
      <w:sz w:val="28"/>
      <w:szCs w:val="28"/>
      <w:lang w:eastAsia="zh-CN"/>
    </w:rPr>
    <w:tblPr/>
  </w:style>
  <w:style w:type="character" w:customStyle="1" w:styleId="a4">
    <w:name w:val="Текст у виносці Знак"/>
    <w:basedOn w:val="a0"/>
    <w:link w:val="a3"/>
    <w:uiPriority w:val="99"/>
    <w:semiHidden/>
    <w:qFormat/>
    <w:rPr>
      <w:rFonts w:ascii="Segoe UI" w:eastAsia="Times New Roman" w:hAnsi="Segoe UI" w:cs="Segoe UI"/>
      <w:sz w:val="18"/>
      <w:szCs w:val="18"/>
      <w:lang w:eastAsia="zh-CN"/>
    </w:rPr>
  </w:style>
  <w:style w:type="character" w:customStyle="1" w:styleId="a9">
    <w:name w:val="Тема примітки Знак"/>
    <w:basedOn w:val="a7"/>
    <w:link w:val="a8"/>
    <w:uiPriority w:val="99"/>
    <w:semiHidden/>
    <w:qFormat/>
    <w:rPr>
      <w:rFonts w:ascii="Times New Roman" w:eastAsia="Times New Roman" w:hAnsi="Times New Roman" w:cs="Times New Roman"/>
      <w:b/>
      <w:bCs/>
      <w:sz w:val="20"/>
      <w:szCs w:val="20"/>
      <w:lang w:eastAsia="zh-CN"/>
    </w:rPr>
  </w:style>
  <w:style w:type="table" w:customStyle="1" w:styleId="TableNormal1">
    <w:name w:val="Table Normal1"/>
    <w:qFormat/>
    <w:tblPr>
      <w:tblCellMar>
        <w:top w:w="0" w:type="dxa"/>
        <w:left w:w="0" w:type="dxa"/>
        <w:bottom w:w="0" w:type="dxa"/>
        <w:right w:w="0" w:type="dxa"/>
      </w:tblCellMar>
    </w:tblPr>
  </w:style>
  <w:style w:type="paragraph" w:customStyle="1" w:styleId="17">
    <w:name w:val="Редакція1"/>
    <w:hidden/>
    <w:uiPriority w:val="99"/>
    <w:semiHidden/>
    <w:qFormat/>
    <w:pPr>
      <w:spacing w:after="0" w:line="240" w:lineRule="auto"/>
    </w:pPr>
    <w:rPr>
      <w:rFonts w:eastAsia="Times New Roman"/>
      <w:sz w:val="28"/>
      <w:szCs w:val="28"/>
      <w:lang w:eastAsia="zh-CN"/>
    </w:rPr>
  </w:style>
  <w:style w:type="paragraph" w:customStyle="1" w:styleId="22">
    <w:name w:val="Абзац списку2"/>
    <w:basedOn w:val="a"/>
    <w:uiPriority w:val="99"/>
    <w:qFormat/>
    <w:pPr>
      <w:ind w:left="720"/>
      <w:contextualSpacing/>
    </w:pPr>
  </w:style>
  <w:style w:type="paragraph" w:customStyle="1" w:styleId="rvps2">
    <w:name w:val="rvps2"/>
    <w:basedOn w:val="a"/>
    <w:qFormat/>
    <w:pPr>
      <w:spacing w:before="100" w:beforeAutospacing="1" w:after="100" w:afterAutospacing="1"/>
      <w:jc w:val="left"/>
    </w:pPr>
    <w:rPr>
      <w:sz w:val="24"/>
      <w:szCs w:val="24"/>
      <w:lang w:eastAsia="uk-UA"/>
    </w:rPr>
  </w:style>
  <w:style w:type="character" w:customStyle="1" w:styleId="UnresolvedMention1">
    <w:name w:val="Unresolved Mention1"/>
    <w:basedOn w:val="a0"/>
    <w:uiPriority w:val="99"/>
    <w:unhideWhenUsed/>
    <w:qFormat/>
    <w:rPr>
      <w:color w:val="605E5C"/>
      <w:shd w:val="clear" w:color="auto" w:fill="E1DFDD"/>
    </w:rPr>
  </w:style>
  <w:style w:type="paragraph" w:customStyle="1" w:styleId="32">
    <w:name w:val="Абзац списку3"/>
    <w:basedOn w:val="a"/>
    <w:uiPriority w:val="99"/>
    <w:qFormat/>
    <w:pPr>
      <w:ind w:left="720"/>
      <w:contextualSpacing/>
    </w:pPr>
  </w:style>
  <w:style w:type="paragraph" w:customStyle="1" w:styleId="23">
    <w:name w:val="Редакція2"/>
    <w:hidden/>
    <w:uiPriority w:val="99"/>
    <w:semiHidden/>
    <w:qFormat/>
    <w:pPr>
      <w:spacing w:after="0" w:line="240" w:lineRule="auto"/>
    </w:pPr>
    <w:rPr>
      <w:rFonts w:eastAsia="Times New Roman"/>
      <w:sz w:val="28"/>
      <w:szCs w:val="28"/>
      <w:lang w:eastAsia="zh-CN"/>
    </w:rPr>
  </w:style>
  <w:style w:type="paragraph" w:customStyle="1" w:styleId="rvps7">
    <w:name w:val="rvps7"/>
    <w:basedOn w:val="a"/>
    <w:qFormat/>
    <w:pPr>
      <w:spacing w:before="100" w:beforeAutospacing="1" w:after="100" w:afterAutospacing="1"/>
      <w:jc w:val="left"/>
    </w:pPr>
    <w:rPr>
      <w:sz w:val="24"/>
      <w:szCs w:val="24"/>
      <w:lang w:eastAsia="uk-UA"/>
    </w:rPr>
  </w:style>
  <w:style w:type="character" w:customStyle="1" w:styleId="rvts15">
    <w:name w:val="rvts15"/>
    <w:basedOn w:val="a0"/>
    <w:qFormat/>
  </w:style>
  <w:style w:type="paragraph" w:customStyle="1" w:styleId="42">
    <w:name w:val="Абзац списку4"/>
    <w:basedOn w:val="a"/>
    <w:link w:val="aff"/>
    <w:uiPriority w:val="34"/>
    <w:qFormat/>
    <w:pPr>
      <w:ind w:left="720"/>
      <w:contextualSpacing/>
    </w:pPr>
  </w:style>
  <w:style w:type="character" w:customStyle="1" w:styleId="aff">
    <w:name w:val="Абзац списку Знак"/>
    <w:link w:val="42"/>
    <w:uiPriority w:val="34"/>
    <w:qFormat/>
    <w:locked/>
    <w:rPr>
      <w:rFonts w:eastAsia="Times New Roman"/>
      <w:sz w:val="28"/>
      <w:szCs w:val="28"/>
      <w:lang w:eastAsia="zh-CN"/>
    </w:rPr>
  </w:style>
  <w:style w:type="character" w:customStyle="1" w:styleId="rvts37">
    <w:name w:val="rvts37"/>
    <w:basedOn w:val="a0"/>
    <w:qFormat/>
  </w:style>
  <w:style w:type="paragraph" w:styleId="aff0">
    <w:name w:val="Revision"/>
    <w:hidden/>
    <w:uiPriority w:val="99"/>
    <w:semiHidden/>
    <w:rsid w:val="008F5F80"/>
    <w:pPr>
      <w:spacing w:after="0" w:line="240" w:lineRule="auto"/>
    </w:pPr>
    <w:rPr>
      <w:rFonts w:eastAsia="Times New Roman"/>
      <w:sz w:val="28"/>
      <w:szCs w:val="28"/>
      <w:lang w:eastAsia="zh-CN"/>
    </w:rPr>
  </w:style>
  <w:style w:type="character" w:customStyle="1" w:styleId="UnresolvedMention">
    <w:name w:val="Unresolved Mention"/>
    <w:basedOn w:val="a0"/>
    <w:uiPriority w:val="99"/>
    <w:semiHidden/>
    <w:unhideWhenUsed/>
    <w:rsid w:val="003B0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02-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063200-4600-4F90-9F9C-F988D7D2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11258</Words>
  <Characters>6418</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Яцюта Людмила Андріївна</dc:creator>
  <cp:lastModifiedBy>Смаляна Тетяна Вікторівна</cp:lastModifiedBy>
  <cp:revision>12</cp:revision>
  <dcterms:created xsi:type="dcterms:W3CDTF">2022-10-26T06:04:00Z</dcterms:created>
  <dcterms:modified xsi:type="dcterms:W3CDTF">2022-11-02T07:09:00Z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