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6122A0"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Дані файл</w:t>
      </w:r>
      <w:r w:rsidR="001B45F9" w:rsidRPr="006122A0">
        <w:rPr>
          <w:color w:val="auto"/>
          <w:sz w:val="28"/>
          <w:szCs w:val="28"/>
        </w:rPr>
        <w:t>а</w:t>
      </w:r>
      <w:r w:rsidRPr="006122A0">
        <w:rPr>
          <w:color w:val="auto"/>
          <w:sz w:val="28"/>
          <w:szCs w:val="28"/>
        </w:rPr>
        <w:t xml:space="preserve"> 07X використовуються Національним банком України для складання показників </w:t>
      </w:r>
      <w:r w:rsidR="00D20C7D" w:rsidRPr="006122A0">
        <w:rPr>
          <w:color w:val="auto"/>
          <w:sz w:val="28"/>
          <w:szCs w:val="28"/>
        </w:rPr>
        <w:t>грошово-кредитної (</w:t>
      </w:r>
      <w:r w:rsidRPr="006122A0">
        <w:rPr>
          <w:color w:val="auto"/>
          <w:sz w:val="28"/>
          <w:szCs w:val="28"/>
        </w:rPr>
        <w:t>монетарної</w:t>
      </w:r>
      <w:r w:rsidR="00D20C7D" w:rsidRPr="006122A0">
        <w:rPr>
          <w:color w:val="auto"/>
          <w:sz w:val="28"/>
          <w:szCs w:val="28"/>
        </w:rPr>
        <w:t>)</w:t>
      </w:r>
      <w:r w:rsidRPr="006122A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122A0">
        <w:rPr>
          <w:color w:val="auto"/>
          <w:sz w:val="28"/>
          <w:szCs w:val="28"/>
        </w:rPr>
        <w:t xml:space="preserve"> в частині операцій з цінними паперами</w:t>
      </w:r>
      <w:r w:rsidR="007608C7" w:rsidRPr="006122A0">
        <w:rPr>
          <w:color w:val="auto"/>
          <w:sz w:val="28"/>
          <w:szCs w:val="28"/>
        </w:rPr>
        <w:t xml:space="preserve"> </w:t>
      </w:r>
      <w:r w:rsidR="00DB5A7A" w:rsidRPr="006122A0">
        <w:rPr>
          <w:color w:val="auto"/>
          <w:sz w:val="28"/>
          <w:szCs w:val="28"/>
        </w:rPr>
        <w:t xml:space="preserve">та дебіторською заборгованістю </w:t>
      </w:r>
      <w:r w:rsidR="001213A0" w:rsidRPr="006122A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122A0">
        <w:rPr>
          <w:color w:val="auto"/>
          <w:sz w:val="28"/>
          <w:szCs w:val="28"/>
        </w:rPr>
        <w:t>)</w:t>
      </w:r>
      <w:r w:rsidR="001213A0" w:rsidRPr="006122A0">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77777777"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роздiл</w:t>
      </w:r>
      <w:r w:rsidR="00FE37A2" w:rsidRPr="006122A0">
        <w:rPr>
          <w:rFonts w:ascii="Times New Roman" w:hAnsi="Times New Roman" w:cs="Times New Roman"/>
          <w:sz w:val="28"/>
          <w:szCs w:val="28"/>
          <w:lang w:val="uk-UA"/>
        </w:rPr>
        <w:t>ів</w:t>
      </w:r>
      <w:r w:rsidRPr="006122A0">
        <w:rPr>
          <w:rFonts w:ascii="Times New Roman" w:hAnsi="Times New Roman" w:cs="Times New Roman"/>
          <w:sz w:val="28"/>
          <w:szCs w:val="28"/>
          <w:lang w:val="uk-UA"/>
        </w:rPr>
        <w:t xml:space="preserve"> видiв економi</w:t>
      </w:r>
      <w:r w:rsidR="00F4584F" w:rsidRPr="006122A0">
        <w:rPr>
          <w:rFonts w:ascii="Times New Roman" w:hAnsi="Times New Roman" w:cs="Times New Roman"/>
          <w:sz w:val="28"/>
          <w:szCs w:val="28"/>
          <w:lang w:val="uk-UA"/>
        </w:rPr>
        <w:t>чної дiяльностi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визначений відповідно до вимог Положення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3BA798FB"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визнаної за міжнародним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130 містяться у довіднику можливих сполучень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Більш докладні правила заповнення можливими значеннями параметрів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містяться у довіднику можливих сполучень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 xml:space="preserve">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B513F74" w14:textId="77777777" w:rsidR="000E4DAC" w:rsidRPr="00941139" w:rsidRDefault="000E4DAC" w:rsidP="000E4DAC">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б) POCI-активи: </w:t>
      </w:r>
    </w:p>
    <w:p w14:paraId="26FC432C"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6A9B68B"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на дату первісного визнання мають класифікуватися як непрацюючі активи. В подальшому POCI-активи можуть бути перекласифіковані в працюючі активи, але бухгалтерський облік за ними не змінюється. РОСI-активи можуть бути перекласифіковані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27CCB7E2"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w:t>
      </w:r>
      <w:r w:rsidRPr="00941139">
        <w:rPr>
          <w:rFonts w:ascii="Times New Roman" w:eastAsia="Times New Roman" w:hAnsi="Times New Roman" w:cs="Times New Roman"/>
          <w:sz w:val="28"/>
          <w:szCs w:val="28"/>
        </w:rPr>
        <w:lastRenderedPageBreak/>
        <w:t>суми заборгованості боржника незалежно від ціни, яку банк заплатив за актив. Ця оцінка може бути на основі комплексної перевірки, проведеної перед покупкою активу, або аналізу який виконується для цілей бухгалтерського обліку, щоб визначити, чи є актив кредитно-знеціненим.</w:t>
      </w:r>
    </w:p>
    <w:p w14:paraId="73B71438"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18F8E3F"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7F89EC93" w14:textId="27FC0659" w:rsidR="00A3505B" w:rsidRPr="00941139" w:rsidRDefault="000E4DAC" w:rsidP="000E4DAC">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0A8C4932" w14:textId="77777777" w:rsidR="000E4DAC" w:rsidRPr="00941139"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46, 48, 49, 98 або 99</w:t>
      </w:r>
      <w:r w:rsidRPr="00941139">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Якщо забезпечення за активом не надано, зазначається значення параметру «90. Без забезпечення (бланкові)»</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lastRenderedPageBreak/>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відображає код типу оцінки кредитного ризику згідно з Положенням №351. За активами, за якими не здійснюється оцінка кредитного ризику відповідно до Положення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083 зазначається значення "#" (розріз відсутній).</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94113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відображає строк прострочення погашення боргу за фінансовим інструментом, визначений згідно з пунктом 36 Положення № 351. 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r w:rsidR="004012C1" w:rsidRPr="00941139">
        <w:rPr>
          <w:rFonts w:ascii="Times New Roman" w:hAnsi="Times New Roman" w:cs="Times New Roman"/>
          <w:sz w:val="28"/>
          <w:szCs w:val="28"/>
          <w:lang w:val="uk-UA"/>
        </w:rPr>
        <w:t>файла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r w:rsidR="000A46C9" w:rsidRPr="00941139">
        <w:rPr>
          <w:rFonts w:ascii="Times New Roman" w:eastAsia="Times New Roman" w:hAnsi="Times New Roman" w:cs="Times New Roman"/>
          <w:sz w:val="28"/>
          <w:szCs w:val="28"/>
          <w:lang w:eastAsia="uk-UA"/>
        </w:rPr>
        <w:t xml:space="preserve">основна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кредитн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збитк</w:t>
      </w:r>
      <w:r w:rsidR="00564475" w:rsidRPr="00D5542F">
        <w:rPr>
          <w:rFonts w:ascii="Times New Roman" w:eastAsia="Times New Roman" w:hAnsi="Times New Roman" w:cs="Times New Roman"/>
          <w:sz w:val="28"/>
          <w:szCs w:val="28"/>
          <w:lang w:val="uk-UA" w:eastAsia="uk-UA"/>
        </w:rPr>
        <w:t>ів</w:t>
      </w:r>
      <w:r w:rsidR="009F40F7"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Сума залишків  за резервами під заборгованість за борговими цінними паперами та резервами за іншою дебіторською заборгованістю</w:t>
      </w:r>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/премі</w:t>
      </w:r>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r w:rsidR="00542E72" w:rsidRPr="00D5542F">
        <w:rPr>
          <w:rFonts w:ascii="Times New Roman" w:eastAsia="Times New Roman" w:hAnsi="Times New Roman" w:cs="Times New Roman"/>
          <w:sz w:val="28"/>
          <w:szCs w:val="28"/>
          <w:lang w:eastAsia="uk-UA"/>
        </w:rPr>
        <w:t>крім очікуваних кредитних збитків</w:t>
      </w:r>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кредитн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збитк</w:t>
      </w:r>
      <w:r w:rsidR="00BC3BF5" w:rsidRPr="00D5542F">
        <w:rPr>
          <w:rFonts w:ascii="Times New Roman" w:eastAsia="Times New Roman" w:hAnsi="Times New Roman" w:cs="Times New Roman"/>
          <w:sz w:val="28"/>
          <w:szCs w:val="28"/>
          <w:lang w:val="uk-UA" w:eastAsia="uk-UA"/>
        </w:rPr>
        <w:t>ів</w:t>
      </w:r>
      <w:r w:rsidR="00A944F6"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 xml:space="preserve">сума боргу </w:t>
      </w:r>
      <w:r w:rsidR="00D55048" w:rsidRPr="00D5542F">
        <w:rPr>
          <w:rFonts w:ascii="Times New Roman" w:eastAsia="Calibri" w:hAnsi="Times New Roman" w:cs="Times New Roman"/>
          <w:sz w:val="28"/>
          <w:szCs w:val="28"/>
        </w:rPr>
        <w:lastRenderedPageBreak/>
        <w:t>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r w:rsidRPr="00D5542F">
        <w:rPr>
          <w:rFonts w:ascii="Times New Roman" w:eastAsia="Times New Roman" w:hAnsi="Times New Roman" w:cs="Times New Roman"/>
          <w:sz w:val="28"/>
          <w:szCs w:val="28"/>
          <w:lang w:eastAsia="uk-UA"/>
        </w:rPr>
        <w:t xml:space="preserve">основна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r w:rsidR="00B962D3" w:rsidRPr="00D5542F">
        <w:rPr>
          <w:rFonts w:ascii="Times New Roman" w:eastAsia="Times New Roman" w:hAnsi="Times New Roman" w:cs="Times New Roman"/>
          <w:sz w:val="28"/>
          <w:szCs w:val="28"/>
          <w:lang w:eastAsia="uk-UA"/>
        </w:rPr>
        <w:t>CV·k</w:t>
      </w:r>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2922" w14:textId="77777777" w:rsidR="0001108C" w:rsidRDefault="0001108C" w:rsidP="007B3828">
      <w:pPr>
        <w:spacing w:after="0" w:line="240" w:lineRule="auto"/>
      </w:pPr>
      <w:r>
        <w:separator/>
      </w:r>
    </w:p>
  </w:endnote>
  <w:endnote w:type="continuationSeparator" w:id="0">
    <w:p w14:paraId="00C16DEB" w14:textId="77777777" w:rsidR="0001108C" w:rsidRDefault="0001108C"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F9A8" w14:textId="77777777" w:rsidR="0001108C" w:rsidRDefault="0001108C" w:rsidP="007B3828">
      <w:pPr>
        <w:spacing w:after="0" w:line="240" w:lineRule="auto"/>
      </w:pPr>
      <w:r>
        <w:separator/>
      </w:r>
    </w:p>
  </w:footnote>
  <w:footnote w:type="continuationSeparator" w:id="0">
    <w:p w14:paraId="76701221" w14:textId="77777777" w:rsidR="0001108C" w:rsidRDefault="0001108C" w:rsidP="007B3828">
      <w:pPr>
        <w:spacing w:after="0" w:line="240" w:lineRule="auto"/>
      </w:pPr>
      <w:r>
        <w:continuationSeparator/>
      </w:r>
    </w:p>
  </w:footnote>
  <w:footnote w:id="1">
    <w:p w14:paraId="5FFA6161" w14:textId="418D8511" w:rsidR="00286A33" w:rsidRPr="003353ED" w:rsidRDefault="00286A33">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1D3B57">
      <w:pPr>
        <w:pStyle w:val="af"/>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1D3B57">
      <w:pPr>
        <w:pStyle w:val="af"/>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 xml:space="preserve">Положення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582C67B9"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2E22C1">
          <w:rPr>
            <w:rFonts w:ascii="Times New Roman" w:hAnsi="Times New Roman" w:cs="Times New Roman"/>
            <w:noProof/>
            <w:sz w:val="28"/>
            <w:szCs w:val="28"/>
          </w:rPr>
          <w:t>9</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08C"/>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7016"/>
    <w:rsid w:val="001D3B57"/>
    <w:rsid w:val="001E023A"/>
    <w:rsid w:val="001E7DCE"/>
    <w:rsid w:val="001F6F2D"/>
    <w:rsid w:val="00213DD1"/>
    <w:rsid w:val="0021520E"/>
    <w:rsid w:val="002167AA"/>
    <w:rsid w:val="00233414"/>
    <w:rsid w:val="0026495B"/>
    <w:rsid w:val="00265977"/>
    <w:rsid w:val="00277023"/>
    <w:rsid w:val="00286A33"/>
    <w:rsid w:val="002A6640"/>
    <w:rsid w:val="002A6684"/>
    <w:rsid w:val="002B4B71"/>
    <w:rsid w:val="002B5A00"/>
    <w:rsid w:val="002B6B25"/>
    <w:rsid w:val="002C6EA5"/>
    <w:rsid w:val="002C6EAC"/>
    <w:rsid w:val="002D1378"/>
    <w:rsid w:val="002D2A84"/>
    <w:rsid w:val="002E22C1"/>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5C91"/>
    <w:rsid w:val="005D6EBA"/>
    <w:rsid w:val="005D79C1"/>
    <w:rsid w:val="005E4E66"/>
    <w:rsid w:val="005F0FBD"/>
    <w:rsid w:val="005F6868"/>
    <w:rsid w:val="005F6F55"/>
    <w:rsid w:val="006075F6"/>
    <w:rsid w:val="006122A0"/>
    <w:rsid w:val="00615AC3"/>
    <w:rsid w:val="00620DE1"/>
    <w:rsid w:val="0062671C"/>
    <w:rsid w:val="006322FC"/>
    <w:rsid w:val="0063645E"/>
    <w:rsid w:val="00642513"/>
    <w:rsid w:val="0066161F"/>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960B-5AD1-47FD-A248-93CEF685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12507</Words>
  <Characters>7130</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2</cp:revision>
  <cp:lastPrinted>2020-07-28T11:57:00Z</cp:lastPrinted>
  <dcterms:created xsi:type="dcterms:W3CDTF">2024-11-29T10:21:00Z</dcterms:created>
  <dcterms:modified xsi:type="dcterms:W3CDTF">2024-11-29T10:21:00Z</dcterms:modified>
</cp:coreProperties>
</file>